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190C" w:rsidRDefault="0098190C" w:rsidP="0098190C">
      <w:pPr>
        <w:jc w:val="center"/>
        <w:rPr>
          <w:rFonts w:eastAsia="Times New Roman"/>
        </w:rPr>
      </w:pPr>
      <w:r>
        <w:rPr>
          <w:rFonts w:eastAsia="Times New Roman"/>
        </w:rPr>
        <w:t>Лекция 15. Преобразование сигналов в линейных и нелинейных  каналах связи</w:t>
      </w:r>
    </w:p>
    <w:p w:rsidR="0098190C" w:rsidRDefault="0098190C" w:rsidP="0098190C">
      <w:pPr>
        <w:jc w:val="center"/>
      </w:pPr>
    </w:p>
    <w:p w:rsidR="0098190C" w:rsidRDefault="0098190C" w:rsidP="0098190C">
      <w:pPr>
        <w:jc w:val="center"/>
      </w:pPr>
      <w:r>
        <w:t>Содержание лекции:</w:t>
      </w:r>
    </w:p>
    <w:p w:rsidR="0098190C" w:rsidRDefault="0098190C" w:rsidP="0098190C">
      <w:pPr>
        <w:jc w:val="center"/>
      </w:pPr>
      <w:r>
        <w:t>- переходные и частотные характеристики линейных стационарных систем. Условие физической реализуемости. Спектральный метод. Преобразование случайных сигналов в детерминированных линейных каналах. Воздействие стационарных случайных сигналов на безынерционные нелинейные цепи. Прохождение случайных сигналов с широким спектром через узкополосные цепи.</w:t>
      </w:r>
    </w:p>
    <w:p w:rsidR="0098190C" w:rsidRDefault="0098190C" w:rsidP="0098190C">
      <w:pPr>
        <w:jc w:val="center"/>
      </w:pPr>
    </w:p>
    <w:p w:rsidR="0098190C" w:rsidRDefault="0098190C" w:rsidP="0098190C">
      <w:pPr>
        <w:jc w:val="center"/>
      </w:pPr>
      <w:r>
        <w:t>Цель лекции:</w:t>
      </w:r>
    </w:p>
    <w:p w:rsidR="0098190C" w:rsidRDefault="0098190C" w:rsidP="0098190C">
      <w:pPr>
        <w:jc w:val="center"/>
      </w:pPr>
      <w:r>
        <w:t xml:space="preserve">- Систематическое решение задач о прохождении разнообразных сигналов через линейные системы. Показать применение спектрального подхода как к задаче нахождения реакции системы, так и к проблеме числовой оценки выходного сигнала. Исследовать ту связь между статистическими характеристиками процессов </w:t>
      </w:r>
      <w:r>
        <w:rPr>
          <w:lang w:val="en-US"/>
        </w:rPr>
        <w:t>X</w:t>
      </w:r>
      <w:r>
        <w:t>(</w:t>
      </w:r>
      <w:r>
        <w:rPr>
          <w:lang w:val="en-US"/>
        </w:rPr>
        <w:t>t</w:t>
      </w:r>
      <w:r>
        <w:t xml:space="preserve">) и </w:t>
      </w:r>
      <w:r>
        <w:rPr>
          <w:lang w:val="en-US"/>
        </w:rPr>
        <w:t>Y</w:t>
      </w:r>
      <w:r>
        <w:t>(</w:t>
      </w:r>
      <w:r>
        <w:rPr>
          <w:lang w:val="en-US"/>
        </w:rPr>
        <w:t>t</w:t>
      </w:r>
      <w:r>
        <w:t>), которая может быть найдена на основе математической модели системы.</w:t>
      </w:r>
    </w:p>
    <w:p w:rsidR="0098190C" w:rsidRDefault="0098190C" w:rsidP="0098190C">
      <w:pPr>
        <w:jc w:val="center"/>
      </w:pPr>
    </w:p>
    <w:p w:rsidR="0098190C" w:rsidRDefault="0098190C" w:rsidP="0098190C">
      <w:pPr>
        <w:jc w:val="center"/>
      </w:pPr>
      <w:r>
        <w:rPr>
          <w:i/>
          <w:iCs/>
        </w:rPr>
        <w:t>Физически реализуемая система</w:t>
      </w:r>
      <w:r>
        <w:t xml:space="preserve"> должна быть, кроме того, </w:t>
      </w:r>
      <w:r>
        <w:rPr>
          <w:i/>
          <w:iCs/>
        </w:rPr>
        <w:t>устойчивой.</w:t>
      </w:r>
      <w:r>
        <w:t xml:space="preserve"> Это означает, что ее импульсная характеристика должна удовлетворять условию абсолютной интегрируемости</w:t>
      </w:r>
    </w:p>
    <w:p w:rsidR="0098190C" w:rsidRDefault="0098190C" w:rsidP="0098190C">
      <w:pPr>
        <w:jc w:val="center"/>
      </w:pPr>
      <w:r>
        <w:rPr>
          <w:noProof/>
          <w:vertAlign w:val="subscript"/>
        </w:rPr>
        <w:drawing>
          <wp:inline distT="0" distB="0" distL="0" distR="0" wp14:anchorId="7A2CAA51" wp14:editId="1E8ED1A0">
            <wp:extent cx="866775" cy="485775"/>
            <wp:effectExtent l="0" t="0" r="9525" b="9525"/>
            <wp:docPr id="1" name="Picture 1" descr="C:\Users\Василий\Desktop\Нов лек ТЭС\Лекции ТЭС последние\ГЛАВА 2_files\image29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 descr="C:\Users\Василий\Desktop\Нов лек ТЭС\Лекции ТЭС последние\ГЛАВА 2_files\image298.gif"/>
                    <pic:cNvPicPr>
                      <a:picLocks noChangeAspect="1" noChangeArrowheads="1"/>
                    </pic:cNvPicPr>
                  </pic:nvPicPr>
                  <pic:blipFill>
                    <a:blip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                                     (15.1)</w:t>
      </w:r>
    </w:p>
    <w:p w:rsidR="0098190C" w:rsidRDefault="0098190C" w:rsidP="0098190C">
      <w:pPr>
        <w:jc w:val="center"/>
      </w:pPr>
      <w:r>
        <w:t xml:space="preserve">Пусть на входе линейной стационарной системы действует сигнал, изображаемый функцией Хевисайда </w:t>
      </w:r>
      <w:r>
        <w:rPr>
          <w:noProof/>
          <w:vertAlign w:val="subscript"/>
        </w:rPr>
        <w:drawing>
          <wp:inline distT="0" distB="0" distL="0" distR="0" wp14:anchorId="680CA5B0" wp14:editId="483D447A">
            <wp:extent cx="304800" cy="200025"/>
            <wp:effectExtent l="0" t="0" r="0" b="9525"/>
            <wp:docPr id="2" name="Picture 2" descr="C:\Users\Василий\Desktop\Нов лек ТЭС\Лекции ТЭС последние\ГЛАВА 2_files\image29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 descr="C:\Users\Василий\Desktop\Нов лек ТЭС\Лекции ТЭС последние\ГЛАВА 2_files\image299.gif"/>
                    <pic:cNvPicPr>
                      <a:picLocks noChangeAspect="1" noChangeArrowheads="1"/>
                    </pic:cNvPicPr>
                  </pic:nvPicPr>
                  <pic:blipFill>
                    <a:blip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iCs/>
        </w:rPr>
        <w:t>.</w:t>
      </w:r>
      <w:r>
        <w:t xml:space="preserve"> Выходную реакцию</w:t>
      </w:r>
    </w:p>
    <w:p w:rsidR="0098190C" w:rsidRDefault="0098190C" w:rsidP="0098190C">
      <w:pPr>
        <w:jc w:val="center"/>
      </w:pPr>
      <w:r>
        <w:rPr>
          <w:i/>
          <w:noProof/>
          <w:vertAlign w:val="subscript"/>
        </w:rPr>
        <w:drawing>
          <wp:inline distT="0" distB="0" distL="0" distR="0" wp14:anchorId="7178D99A" wp14:editId="4440EE9E">
            <wp:extent cx="847725" cy="209550"/>
            <wp:effectExtent l="0" t="0" r="9525" b="0"/>
            <wp:docPr id="3" name="Picture 3" descr="C:\Users\Василий\Desktop\Нов лек ТЭС\Лекции ТЭС последние\ГЛАВА 2_files\image3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 descr="C:\Users\Василий\Desktop\Нов лек ТЭС\Лекции ТЭС последние\ГЛАВА 2_files\image300.gif"/>
                    <pic:cNvPicPr>
                      <a:picLocks noChangeAspect="1" noChangeArrowheads="1"/>
                    </pic:cNvPicPr>
                  </pic:nvPicPr>
                  <pic:blipFill>
                    <a:blip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(15.2)</w:t>
      </w:r>
    </w:p>
    <w:p w:rsidR="0098190C" w:rsidRDefault="0098190C" w:rsidP="0098190C">
      <w:pPr>
        <w:jc w:val="center"/>
      </w:pPr>
      <w:r>
        <w:t xml:space="preserve">принято называть </w:t>
      </w:r>
      <w:r>
        <w:rPr>
          <w:i/>
          <w:iCs/>
        </w:rPr>
        <w:t>переходной характеристикой</w:t>
      </w:r>
      <w:r>
        <w:t xml:space="preserve"> системы.</w:t>
      </w:r>
    </w:p>
    <w:p w:rsidR="0098190C" w:rsidRDefault="0098190C" w:rsidP="0098190C">
      <w:pPr>
        <w:jc w:val="center"/>
      </w:pPr>
      <w:r>
        <w:t xml:space="preserve">Поскольку система стационарна, переходная характеристика инвариантна относительно временного сдвига </w:t>
      </w:r>
      <w:r>
        <w:rPr>
          <w:i/>
          <w:noProof/>
          <w:vertAlign w:val="subscript"/>
        </w:rPr>
        <w:drawing>
          <wp:inline distT="0" distB="0" distL="0" distR="0" wp14:anchorId="0A0EFF0A" wp14:editId="7C5ADBBA">
            <wp:extent cx="1295400" cy="228600"/>
            <wp:effectExtent l="0" t="0" r="0" b="0"/>
            <wp:docPr id="4" name="Picture 4" descr="C:\Users\Василий\Desktop\Нов лек ТЭС\Лекции ТЭС последние\ГЛАВА 2_files\image3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 descr="C:\Users\Василий\Desktop\Нов лек ТЭС\Лекции ТЭС последние\ГЛАВА 2_files\image301.gif"/>
                    <pic:cNvPicPr>
                      <a:picLocks noChangeAspect="1" noChangeArrowheads="1"/>
                    </pic:cNvPicPr>
                  </pic:nvPicPr>
                  <pic:blipFill>
                    <a:blip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iCs/>
        </w:rPr>
        <w:t>.</w:t>
      </w:r>
    </w:p>
    <w:p w:rsidR="0098190C" w:rsidRDefault="0098190C" w:rsidP="0098190C">
      <w:pPr>
        <w:jc w:val="center"/>
      </w:pPr>
      <w:r>
        <w:t xml:space="preserve">Переходная характеристика физически реализуемой системы отлична от нуля лишь при </w:t>
      </w:r>
      <w:r>
        <w:rPr>
          <w:noProof/>
          <w:vertAlign w:val="subscript"/>
        </w:rPr>
        <w:drawing>
          <wp:inline distT="0" distB="0" distL="0" distR="0" wp14:anchorId="44AC5825" wp14:editId="22BE5ABC">
            <wp:extent cx="333375" cy="180975"/>
            <wp:effectExtent l="0" t="0" r="9525" b="9525"/>
            <wp:docPr id="5" name="Picture 5" descr="C:\Users\Василий\Desktop\Нов лек ТЭС\Лекции ТЭС последние\ГЛАВА 2_files\image3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 descr="C:\Users\Василий\Desktop\Нов лек ТЭС\Лекции ТЭС последние\ГЛАВА 2_files\image302.gif"/>
                    <pic:cNvPicPr>
                      <a:picLocks noChangeAspect="1" noChangeArrowheads="1"/>
                    </pic:cNvPicPr>
                  </pic:nvPicPr>
                  <pic:blipFill>
                    <a:blip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, в то время, как </w:t>
      </w:r>
      <w:r>
        <w:rPr>
          <w:i/>
          <w:iCs/>
        </w:rPr>
        <w:t>g</w:t>
      </w:r>
      <w:r>
        <w:t xml:space="preserve"> (t) = 0 при </w:t>
      </w:r>
      <w:r>
        <w:rPr>
          <w:i/>
          <w:iCs/>
        </w:rPr>
        <w:t>t &lt; 0.</w:t>
      </w:r>
    </w:p>
    <w:p w:rsidR="0098190C" w:rsidRDefault="0098190C" w:rsidP="0098190C">
      <w:pPr>
        <w:jc w:val="center"/>
      </w:pPr>
      <w:r>
        <w:t>Между импульсной и переходной характеристиками имеется тесная связь. Действительно, так как δ(</w:t>
      </w:r>
      <w:r>
        <w:rPr>
          <w:lang w:val="en-US"/>
        </w:rPr>
        <w:t>t</w:t>
      </w:r>
      <w:r>
        <w:t>)=</w:t>
      </w:r>
      <w:proofErr w:type="spellStart"/>
      <w:r>
        <w:rPr>
          <w:lang w:val="en-US"/>
        </w:rPr>
        <w:t>dσ</w:t>
      </w:r>
      <w:proofErr w:type="spellEnd"/>
      <w:r>
        <w:t>/</w:t>
      </w:r>
      <w:proofErr w:type="spellStart"/>
      <w:r>
        <w:rPr>
          <w:lang w:val="en-US"/>
        </w:rPr>
        <w:t>dt</w:t>
      </w:r>
      <w:proofErr w:type="spellEnd"/>
      <w:r>
        <w:t>, то на основании (14.6)</w:t>
      </w:r>
    </w:p>
    <w:p w:rsidR="0098190C" w:rsidRDefault="0098190C" w:rsidP="0098190C">
      <w:pPr>
        <w:jc w:val="center"/>
      </w:pPr>
      <w:r>
        <w:rPr>
          <w:noProof/>
          <w:vertAlign w:val="subscript"/>
        </w:rPr>
        <w:drawing>
          <wp:inline distT="0" distB="0" distL="0" distR="0" wp14:anchorId="7BABA939" wp14:editId="0387E220">
            <wp:extent cx="1028700" cy="476250"/>
            <wp:effectExtent l="0" t="0" r="0" b="0"/>
            <wp:docPr id="6" name="Picture 6" descr="C:\Users\Василий\Desktop\Нов лек ТЭС\Лекции ТЭС последние\ГЛАВА 2_files\image30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 descr="C:\Users\Василий\Desktop\Нов лек ТЭС\Лекции ТЭС последние\ГЛАВА 2_files\image303.gif"/>
                    <pic:cNvPicPr>
                      <a:picLocks noChangeAspect="1" noChangeArrowheads="1"/>
                    </pic:cNvPicPr>
                  </pic:nvPicPr>
                  <pic:blipFill>
                    <a:blip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                             (15.3)</w:t>
      </w:r>
    </w:p>
    <w:p w:rsidR="0098190C" w:rsidRDefault="0098190C" w:rsidP="0098190C">
      <w:pPr>
        <w:jc w:val="center"/>
      </w:pPr>
      <w:r>
        <w:t xml:space="preserve">Покажем, что комплексный сигнал </w:t>
      </w:r>
      <w:r>
        <w:rPr>
          <w:lang w:val="en-US"/>
        </w:rPr>
        <w:t>u</w:t>
      </w:r>
      <w:r>
        <w:rPr>
          <w:vertAlign w:val="subscript"/>
        </w:rPr>
        <w:t>вх</w:t>
      </w:r>
      <w:r>
        <w:t>(</w:t>
      </w:r>
      <w:r>
        <w:rPr>
          <w:lang w:val="en-US"/>
        </w:rPr>
        <w:t>t</w:t>
      </w:r>
      <w:r>
        <w:t xml:space="preserve">) = </w:t>
      </w:r>
      <w:proofErr w:type="spellStart"/>
      <w:r>
        <w:rPr>
          <w:lang w:val="en-US"/>
        </w:rPr>
        <w:t>exp</w:t>
      </w:r>
      <w:proofErr w:type="spellEnd"/>
      <w:r>
        <w:t xml:space="preserve"> (</w:t>
      </w:r>
      <w:proofErr w:type="spellStart"/>
      <w:r>
        <w:rPr>
          <w:lang w:val="en-US"/>
        </w:rPr>
        <w:t>jωt</w:t>
      </w:r>
      <w:proofErr w:type="spellEnd"/>
      <w:r>
        <w:t xml:space="preserve">) при любом значении частоты </w:t>
      </w:r>
      <w:r>
        <w:rPr>
          <w:lang w:val="en-US"/>
        </w:rPr>
        <w:t>ω</w:t>
      </w:r>
      <w:r>
        <w:t xml:space="preserve"> есть собственная функция cтaциoнaрнoгo оператора. Для этого воспользуемся интегралом Дюамеля вида (14.8) и вычислим</w:t>
      </w:r>
    </w:p>
    <w:p w:rsidR="0098190C" w:rsidRDefault="0098190C" w:rsidP="0098190C">
      <w:pPr>
        <w:jc w:val="center"/>
      </w:pPr>
      <w:r>
        <w:rPr>
          <w:i/>
          <w:noProof/>
          <w:vertAlign w:val="subscript"/>
        </w:rPr>
        <w:drawing>
          <wp:inline distT="0" distB="0" distL="0" distR="0" wp14:anchorId="0EFAA731" wp14:editId="40ECB3CE">
            <wp:extent cx="3305175" cy="514350"/>
            <wp:effectExtent l="0" t="0" r="9525" b="0"/>
            <wp:docPr id="7" name="Picture 7" descr="C:\Users\Василий\Desktop\Нов лек ТЭС\Лекции ТЭС последние\ГЛАВА 2_files\image30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 descr="C:\Users\Василий\Desktop\Нов лек ТЭС\Лекции ТЭС последние\ГЛАВА 2_files\image304.gif"/>
                    <pic:cNvPicPr>
                      <a:picLocks noChangeAspect="1" noChangeArrowheads="1"/>
                    </pic:cNvPicPr>
                  </pic:nvPicPr>
                  <pic:blipFill>
                    <a:blip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75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iCs/>
        </w:rPr>
        <w:t>.</w:t>
      </w:r>
      <w:r>
        <w:t>       (15.4)</w:t>
      </w:r>
    </w:p>
    <w:p w:rsidR="0098190C" w:rsidRDefault="0098190C" w:rsidP="0098190C">
      <w:pPr>
        <w:jc w:val="center"/>
      </w:pPr>
      <w:r>
        <w:t>Отсюда видно, что собственным значением системного оператора является комплексное число</w:t>
      </w:r>
    </w:p>
    <w:p w:rsidR="0098190C" w:rsidRDefault="0098190C" w:rsidP="0098190C">
      <w:pPr>
        <w:jc w:val="center"/>
      </w:pPr>
      <w:r>
        <w:rPr>
          <w:noProof/>
          <w:vertAlign w:val="subscript"/>
        </w:rPr>
        <w:drawing>
          <wp:inline distT="0" distB="0" distL="0" distR="0" wp14:anchorId="53BAB7BB" wp14:editId="3D276F3B">
            <wp:extent cx="1400175" cy="476250"/>
            <wp:effectExtent l="0" t="0" r="9525" b="0"/>
            <wp:docPr id="8" name="Picture 8" descr="C:\Users\Василий\Desktop\Нов лек ТЭС\Лекции ТЭС последние\ГЛАВА 2_files\image30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 descr="C:\Users\Василий\Desktop\Нов лек ТЭС\Лекции ТЭС последние\ГЛАВА 2_files\image305.gif"/>
                    <pic:cNvPicPr>
                      <a:picLocks noChangeAspect="1" noChangeArrowheads="1"/>
                    </pic:cNvPicPr>
                  </pic:nvPicPr>
                  <pic:blipFill>
                    <a:blip r:link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,                 (15.5)</w:t>
      </w:r>
    </w:p>
    <w:p w:rsidR="0098190C" w:rsidRDefault="0098190C" w:rsidP="0098190C">
      <w:pPr>
        <w:jc w:val="center"/>
      </w:pPr>
      <w:r>
        <w:t xml:space="preserve">называемое </w:t>
      </w:r>
      <w:r>
        <w:rPr>
          <w:i/>
          <w:iCs/>
        </w:rPr>
        <w:t>частотным коэффициентом передачи</w:t>
      </w:r>
      <w:r>
        <w:t xml:space="preserve"> системы.</w:t>
      </w:r>
    </w:p>
    <w:p w:rsidR="0098190C" w:rsidRDefault="0098190C" w:rsidP="0098190C">
      <w:pPr>
        <w:jc w:val="center"/>
      </w:pPr>
      <w:r>
        <w:t xml:space="preserve">Формула (15.5) устанавливает принципиально важный факт — </w:t>
      </w:r>
      <w:r>
        <w:rPr>
          <w:i/>
          <w:iCs/>
        </w:rPr>
        <w:t>частотный коэффициент передачи и импульсная характеристика линейной стационарной системы связаны между собой преобразованием Фурье.</w:t>
      </w:r>
      <w:r>
        <w:t xml:space="preserve"> Поэтому всегда, зная функцию </w:t>
      </w:r>
      <w:r>
        <w:rPr>
          <w:i/>
          <w:iCs/>
          <w:lang w:val="en-US"/>
        </w:rPr>
        <w:t>K</w:t>
      </w:r>
      <w:r>
        <w:rPr>
          <w:i/>
          <w:iCs/>
        </w:rPr>
        <w:t>(</w:t>
      </w:r>
      <w:proofErr w:type="spellStart"/>
      <w:r>
        <w:rPr>
          <w:i/>
          <w:iCs/>
          <w:lang w:val="en-US"/>
        </w:rPr>
        <w:t>jω</w:t>
      </w:r>
      <w:proofErr w:type="spellEnd"/>
      <w:r>
        <w:rPr>
          <w:i/>
          <w:iCs/>
        </w:rPr>
        <w:t>),</w:t>
      </w:r>
      <w:r>
        <w:t xml:space="preserve"> можно определить импульсную характеристику</w:t>
      </w:r>
    </w:p>
    <w:p w:rsidR="0098190C" w:rsidRDefault="0098190C" w:rsidP="0098190C">
      <w:pPr>
        <w:jc w:val="center"/>
      </w:pPr>
      <w:r>
        <w:rPr>
          <w:noProof/>
          <w:vertAlign w:val="subscript"/>
        </w:rPr>
        <w:lastRenderedPageBreak/>
        <w:drawing>
          <wp:inline distT="0" distB="0" distL="0" distR="0" wp14:anchorId="2CE2EC4C" wp14:editId="188FEC7D">
            <wp:extent cx="1600200" cy="466725"/>
            <wp:effectExtent l="0" t="0" r="0" b="9525"/>
            <wp:docPr id="9" name="Picture 9" descr="C:\Users\Василий\Desktop\Нов лек ТЭС\Лекции ТЭС последние\ГЛАВА 2_files\image3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 descr="C:\Users\Василий\Desktop\Нов лек ТЭС\Лекции ТЭС последние\ГЛАВА 2_files\image306.gif"/>
                    <pic:cNvPicPr>
                      <a:picLocks noChangeAspect="1" noChangeArrowheads="1"/>
                    </pic:cNvPicPr>
                  </pic:nvPicPr>
                  <pic:blipFill>
                    <a:blip r:link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               (15.6)</w:t>
      </w:r>
    </w:p>
    <w:p w:rsidR="0098190C" w:rsidRDefault="0098190C" w:rsidP="0098190C">
      <w:pPr>
        <w:jc w:val="center"/>
      </w:pPr>
      <w:r>
        <w:t>Важнейшее положение теории линейных стационарных систем - любую такую систему можно рассматривать либо во временной области с помощью ее импульсной или переходной характеристик, либо в частотной области, задавая частотный коэффициент передачи. Оба подхода равноценны, и выбор одного из них диктуется удобствами получения исходных данных о системе и простотой вычислений.</w:t>
      </w:r>
    </w:p>
    <w:p w:rsidR="0098190C" w:rsidRDefault="0098190C" w:rsidP="0098190C">
      <w:pPr>
        <w:jc w:val="center"/>
      </w:pPr>
      <w:r>
        <w:t>Часто пользуются представлением частотного коэффициента передачи в показательной форме</w:t>
      </w:r>
    </w:p>
    <w:p w:rsidR="0098190C" w:rsidRDefault="0098190C" w:rsidP="0098190C">
      <w:pPr>
        <w:jc w:val="center"/>
      </w:pPr>
      <w:r>
        <w:rPr>
          <w:noProof/>
          <w:vertAlign w:val="subscript"/>
        </w:rPr>
        <w:drawing>
          <wp:inline distT="0" distB="0" distL="0" distR="0" wp14:anchorId="647038D2" wp14:editId="4040C015">
            <wp:extent cx="1752600" cy="238125"/>
            <wp:effectExtent l="0" t="0" r="0" b="9525"/>
            <wp:docPr id="10" name="Picture 10" descr="C:\Users\Василий\Desktop\Нов лек ТЭС\Лекции ТЭС последние\ГЛАВА 2_files\image30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 descr="C:\Users\Василий\Desktop\Нов лек ТЭС\Лекции ТЭС последние\ГЛАВА 2_files\image307.gif"/>
                    <pic:cNvPicPr>
                      <a:picLocks noChangeAspect="1" noChangeArrowheads="1"/>
                    </pic:cNvPicPr>
                  </pic:nvPicPr>
                  <pic:blipFill>
                    <a:blip r:link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               (15.7)</w:t>
      </w:r>
    </w:p>
    <w:p w:rsidR="0098190C" w:rsidRDefault="0098190C" w:rsidP="0098190C">
      <w:pPr>
        <w:jc w:val="center"/>
      </w:pPr>
      <w:r>
        <w:t xml:space="preserve">Обе входящие сюда вещественные функции носят специальные названия: </w:t>
      </w:r>
      <w:r>
        <w:rPr>
          <w:noProof/>
          <w:vertAlign w:val="subscript"/>
        </w:rPr>
        <w:drawing>
          <wp:inline distT="0" distB="0" distL="0" distR="0" wp14:anchorId="0F15BFC5" wp14:editId="506AAFBF">
            <wp:extent cx="504825" cy="257175"/>
            <wp:effectExtent l="0" t="0" r="9525" b="9525"/>
            <wp:docPr id="11" name="Picture 11" descr="C:\Users\Василий\Desktop\Нов лек ТЭС\Лекции ТЭС последние\ГЛАВА 2_files\image30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 descr="C:\Users\Василий\Desktop\Нов лек ТЭС\Лекции ТЭС последние\ГЛАВА 2_files\image308.gif"/>
                    <pic:cNvPicPr>
                      <a:picLocks noChangeAspect="1" noChangeArrowheads="1"/>
                    </pic:cNvPicPr>
                  </pic:nvPicPr>
                  <pic:blipFill>
                    <a:blip r:link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 — </w:t>
      </w:r>
      <w:r>
        <w:rPr>
          <w:i/>
          <w:iCs/>
        </w:rPr>
        <w:t>амплитудно-частотная характеристика</w:t>
      </w:r>
      <w:r>
        <w:t xml:space="preserve"> (АЧХ), φ</w:t>
      </w:r>
      <w:r>
        <w:rPr>
          <w:vertAlign w:val="subscript"/>
          <w:lang w:val="en-US"/>
        </w:rPr>
        <w:t>K</w:t>
      </w:r>
      <w:r>
        <w:t xml:space="preserve">(ω) - </w:t>
      </w:r>
      <w:r>
        <w:rPr>
          <w:i/>
          <w:iCs/>
        </w:rPr>
        <w:t xml:space="preserve">фазочастотная характеристика </w:t>
      </w:r>
      <w:r>
        <w:t>(ФЧХ) системы.</w:t>
      </w:r>
    </w:p>
    <w:p w:rsidR="0098190C" w:rsidRDefault="0098190C" w:rsidP="0098190C">
      <w:pPr>
        <w:jc w:val="center"/>
      </w:pPr>
      <w:r>
        <w:t xml:space="preserve">Далеко не каждая функция </w:t>
      </w:r>
      <w:r>
        <w:rPr>
          <w:i/>
          <w:iCs/>
        </w:rPr>
        <w:t>К (</w:t>
      </w:r>
      <w:proofErr w:type="spellStart"/>
      <w:r>
        <w:rPr>
          <w:i/>
          <w:iCs/>
          <w:lang w:val="en-US"/>
        </w:rPr>
        <w:t>jω</w:t>
      </w:r>
      <w:proofErr w:type="spellEnd"/>
      <w:r>
        <w:rPr>
          <w:i/>
          <w:iCs/>
        </w:rPr>
        <w:t>)</w:t>
      </w:r>
      <w:r>
        <w:t xml:space="preserve"> может являться частотным коэффициентом передачи физически реализуемой системы. Простейшее </w:t>
      </w:r>
      <w:r>
        <w:rPr>
          <w:i/>
          <w:iCs/>
        </w:rPr>
        <w:t>ограничение</w:t>
      </w:r>
      <w:r>
        <w:t xml:space="preserve"> связано с тем, что импульсная характеристика </w:t>
      </w:r>
      <w:r>
        <w:rPr>
          <w:i/>
          <w:iCs/>
          <w:lang w:val="en-US"/>
        </w:rPr>
        <w:t>h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</w:t>
      </w:r>
      <w:r>
        <w:t xml:space="preserve"> такой системы обязана быть вещественной</w:t>
      </w:r>
    </w:p>
    <w:p w:rsidR="0098190C" w:rsidRDefault="0098190C" w:rsidP="0098190C">
      <w:pPr>
        <w:jc w:val="center"/>
      </w:pPr>
      <w:proofErr w:type="gramStart"/>
      <w:r>
        <w:rPr>
          <w:i/>
          <w:iCs/>
          <w:lang w:val="en-US"/>
        </w:rPr>
        <w:t>K</w:t>
      </w:r>
      <w:r>
        <w:rPr>
          <w:i/>
          <w:iCs/>
        </w:rPr>
        <w:t>(</w:t>
      </w:r>
      <w:proofErr w:type="spellStart"/>
      <w:proofErr w:type="gramEnd"/>
      <w:r>
        <w:rPr>
          <w:i/>
          <w:iCs/>
          <w:lang w:val="en-US"/>
        </w:rPr>
        <w:t>jω</w:t>
      </w:r>
      <w:proofErr w:type="spellEnd"/>
      <w:r>
        <w:rPr>
          <w:i/>
          <w:iCs/>
        </w:rPr>
        <w:t>)=</w:t>
      </w:r>
      <w:r>
        <w:rPr>
          <w:i/>
          <w:iCs/>
          <w:lang w:val="en-US"/>
        </w:rPr>
        <w:t>K</w:t>
      </w:r>
      <w:r>
        <w:rPr>
          <w:i/>
          <w:iCs/>
          <w:vertAlign w:val="superscript"/>
        </w:rPr>
        <w:t>*</w:t>
      </w:r>
      <w:r>
        <w:rPr>
          <w:i/>
          <w:iCs/>
        </w:rPr>
        <w:t>(-</w:t>
      </w:r>
      <w:proofErr w:type="spellStart"/>
      <w:r>
        <w:rPr>
          <w:i/>
          <w:iCs/>
          <w:lang w:val="en-US"/>
        </w:rPr>
        <w:t>jω</w:t>
      </w:r>
      <w:proofErr w:type="spellEnd"/>
      <w:r>
        <w:rPr>
          <w:i/>
          <w:iCs/>
        </w:rPr>
        <w:t xml:space="preserve">). </w:t>
      </w:r>
      <w:r>
        <w:t>                          (15.8)</w:t>
      </w:r>
    </w:p>
    <w:p w:rsidR="0098190C" w:rsidRDefault="0098190C" w:rsidP="0098190C">
      <w:pPr>
        <w:jc w:val="center"/>
      </w:pPr>
      <w:r>
        <w:t>В соответствии с формулой (10.13) модуль частотного коэффициента передачи (АЧХ) есть четная, а фазовый угол (ФЧХ) — нечетная функция частоты.</w:t>
      </w:r>
    </w:p>
    <w:p w:rsidR="0098190C" w:rsidRDefault="0098190C" w:rsidP="0098190C">
      <w:pPr>
        <w:jc w:val="center"/>
      </w:pPr>
      <w:r>
        <w:t xml:space="preserve">Каким должен быть частотный коэффициент передачи для того, чтобы выполнялись условия физической реализуемости (14.9) и (15.1). Приведем без доказательства окончательный результат, известный под названием </w:t>
      </w:r>
      <w:r>
        <w:rPr>
          <w:i/>
          <w:iCs/>
        </w:rPr>
        <w:t xml:space="preserve">критерия Пэли — Винера: </w:t>
      </w:r>
      <w:r>
        <w:t>частотный коэффициент передачи физически реализуемой системы должен быть таким, чтобы существовал интеграл</w:t>
      </w:r>
    </w:p>
    <w:p w:rsidR="0098190C" w:rsidRDefault="0098190C" w:rsidP="0098190C">
      <w:pPr>
        <w:jc w:val="center"/>
      </w:pPr>
      <w:r>
        <w:rPr>
          <w:noProof/>
          <w:vertAlign w:val="subscript"/>
        </w:rPr>
        <w:drawing>
          <wp:inline distT="0" distB="0" distL="0" distR="0" wp14:anchorId="27E521A8" wp14:editId="1C48F9C2">
            <wp:extent cx="1181100" cy="457200"/>
            <wp:effectExtent l="0" t="0" r="0" b="0"/>
            <wp:docPr id="12" name="Picture 12" descr="C:\Users\Василий\Desktop\Нов лек ТЭС\Лекции ТЭС последние\ГЛАВА 2_files\image30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 descr="C:\Users\Василий\Desktop\Нов лек ТЭС\Лекции ТЭС последние\ГЛАВА 2_files\image309.gif"/>
                    <pic:cNvPicPr>
                      <a:picLocks noChangeAspect="1" noChangeArrowheads="1"/>
                    </pic:cNvPicPr>
                  </pic:nvPicPr>
                  <pic:blipFill>
                    <a:blip r:link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                        (15.9)</w:t>
      </w:r>
    </w:p>
    <w:p w:rsidR="0098190C" w:rsidRDefault="0098190C" w:rsidP="0098190C">
      <w:pPr>
        <w:jc w:val="center"/>
      </w:pPr>
      <w:r>
        <w:rPr>
          <w:i/>
          <w:iCs/>
        </w:rPr>
        <w:t>Спектральный метод</w:t>
      </w:r>
      <w:r>
        <w:t xml:space="preserve"> анализа прохождения радиотехнических сигналов через линейные стационарные системы - целый комплекс математических приемов, в основе которых лежит использование свойств частотного коэффициента передачи системы.</w:t>
      </w:r>
    </w:p>
    <w:p w:rsidR="0098190C" w:rsidRDefault="0098190C" w:rsidP="0098190C">
      <w:pPr>
        <w:jc w:val="center"/>
      </w:pPr>
      <w:r>
        <w:rPr>
          <w:noProof/>
          <w:vertAlign w:val="subscript"/>
        </w:rPr>
        <w:drawing>
          <wp:inline distT="0" distB="0" distL="0" distR="0" wp14:anchorId="36A24525" wp14:editId="0A4362BA">
            <wp:extent cx="2076450" cy="447675"/>
            <wp:effectExtent l="0" t="0" r="0" b="9525"/>
            <wp:docPr id="13" name="Picture 13" descr="C:\Users\Василий\Desktop\Нов лек ТЭС\Лекции ТЭС последние\ГЛАВА 2_files\image3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 descr="C:\Users\Василий\Desktop\Нов лек ТЭС\Лекции ТЭС последние\ГЛАВА 2_files\image310.gif"/>
                    <pic:cNvPicPr>
                      <a:picLocks noChangeAspect="1" noChangeArrowheads="1"/>
                    </pic:cNvPicPr>
                  </pic:nvPicPr>
                  <pic:blipFill>
                    <a:blip r:link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               (15.10)</w:t>
      </w:r>
    </w:p>
    <w:p w:rsidR="0098190C" w:rsidRDefault="0098190C" w:rsidP="0098190C">
      <w:pPr>
        <w:jc w:val="center"/>
      </w:pPr>
      <w:r>
        <w:t>Это</w:t>
      </w:r>
      <w:r>
        <w:rPr>
          <w:i/>
          <w:iCs/>
        </w:rPr>
        <w:t xml:space="preserve"> основная формула</w:t>
      </w:r>
      <w:r>
        <w:t xml:space="preserve"> спектрального метода, свидетельствующая о том, что частотный коэффициент передачи системы служит множителем пропорциональности между спектральными плотностями сигналов на входе и выходе:</w:t>
      </w:r>
    </w:p>
    <w:p w:rsidR="0098190C" w:rsidRDefault="0098190C" w:rsidP="0098190C">
      <w:pPr>
        <w:jc w:val="center"/>
      </w:pPr>
      <w:r>
        <w:rPr>
          <w:i/>
          <w:noProof/>
          <w:vertAlign w:val="subscript"/>
        </w:rPr>
        <w:drawing>
          <wp:inline distT="0" distB="0" distL="0" distR="0" wp14:anchorId="562F3B95" wp14:editId="6D0D9DF1">
            <wp:extent cx="1495425" cy="228600"/>
            <wp:effectExtent l="0" t="0" r="9525" b="0"/>
            <wp:docPr id="14" name="Picture 14" descr="C:\Users\Василий\Desktop\Нов лек ТЭС\Лекции ТЭС последние\ГЛАВА 2_files\image3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 descr="C:\Users\Василий\Desktop\Нов лек ТЭС\Лекции ТЭС последние\ГЛАВА 2_files\image311.gif"/>
                    <pic:cNvPicPr>
                      <a:picLocks noChangeAspect="1" noChangeArrowheads="1"/>
                    </pic:cNvPicPr>
                  </pic:nvPicPr>
                  <pic:blipFill>
                    <a:blip r:link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iCs/>
        </w:rPr>
        <w:t>.</w:t>
      </w:r>
      <w:r>
        <w:t>                                 (15.11)</w:t>
      </w:r>
    </w:p>
    <w:p w:rsidR="0098190C" w:rsidRDefault="0098190C" w:rsidP="0098190C">
      <w:pPr>
        <w:jc w:val="center"/>
      </w:pPr>
      <w:r>
        <w:t xml:space="preserve">Исследование </w:t>
      </w:r>
      <w:r>
        <w:rPr>
          <w:i/>
          <w:iCs/>
        </w:rPr>
        <w:t xml:space="preserve">преобразований случайных процессов при их прохождении через линейные динамические системы </w:t>
      </w:r>
      <w:r>
        <w:t>(как с регулярными, так и со случайно меняю</w:t>
      </w:r>
      <w:r>
        <w:softHyphen/>
        <w:t>щимися параметрами) связано с решением задач двух типов: определение кор</w:t>
      </w:r>
      <w:r>
        <w:softHyphen/>
        <w:t xml:space="preserve">реляционной функции (спектральной плотности мощности) отклика </w:t>
      </w:r>
      <w:r>
        <w:rPr>
          <w:i/>
          <w:iCs/>
          <w:lang w:val="en-US"/>
        </w:rPr>
        <w:t>Y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</w:t>
      </w:r>
      <w:r>
        <w:t xml:space="preserve"> на выходе системы, заданной своими характеристиками, по данной корреляцион</w:t>
      </w:r>
      <w:r>
        <w:softHyphen/>
        <w:t xml:space="preserve">ной функции (или спектральной плотности мощности) входного воздействия </w:t>
      </w:r>
      <w:r>
        <w:rPr>
          <w:i/>
          <w:iCs/>
          <w:lang w:val="en-US"/>
        </w:rPr>
        <w:t>X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</w:t>
      </w:r>
      <w:r>
        <w:t xml:space="preserve"> определение многомерного распределения вероятностей отклика </w:t>
      </w:r>
      <w:r>
        <w:rPr>
          <w:i/>
          <w:iCs/>
        </w:rPr>
        <w:t>У(</w:t>
      </w:r>
      <w:r>
        <w:rPr>
          <w:i/>
          <w:iCs/>
          <w:lang w:val="en-US"/>
        </w:rPr>
        <w:t>t</w:t>
      </w:r>
      <w:r>
        <w:rPr>
          <w:i/>
          <w:iCs/>
        </w:rPr>
        <w:t>)</w:t>
      </w:r>
      <w:r>
        <w:t xml:space="preserve"> на выходе системы по многомерному распределению входного воздействия </w:t>
      </w:r>
      <w:r>
        <w:rPr>
          <w:i/>
          <w:iCs/>
          <w:lang w:val="en-US"/>
        </w:rPr>
        <w:t>X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).</w:t>
      </w:r>
    </w:p>
    <w:p w:rsidR="0098190C" w:rsidRDefault="0098190C" w:rsidP="0098190C">
      <w:pPr>
        <w:jc w:val="center"/>
      </w:pPr>
      <w:r>
        <w:t>В стационарной детерминированной линейной системе с финитной, т.е. ограниченной во времени пределами 0...</w:t>
      </w:r>
      <w:r>
        <w:rPr>
          <w:noProof/>
          <w:vertAlign w:val="subscript"/>
        </w:rPr>
        <w:drawing>
          <wp:inline distT="0" distB="0" distL="0" distR="0" wp14:anchorId="3E710616" wp14:editId="11034440">
            <wp:extent cx="200025" cy="219075"/>
            <wp:effectExtent l="0" t="0" r="9525" b="9525"/>
            <wp:docPr id="15" name="Picture 15" descr="C:\Users\Василий\Desktop\Нов лек ТЭС\Лекции ТЭС последние\ГЛАВА 2_files\image3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 descr="C:\Users\Василий\Desktop\Нов лек ТЭС\Лекции ТЭС последние\ГЛАВА 2_files\image312.gif"/>
                    <pic:cNvPicPr>
                      <a:picLocks noChangeAspect="1" noChangeArrowheads="1"/>
                    </pic:cNvPicPr>
                  </pic:nvPicPr>
                  <pic:blipFill>
                    <a:blip r:link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ИХ </w:t>
      </w:r>
      <w:r>
        <w:rPr>
          <w:i/>
          <w:iCs/>
          <w:lang w:val="en-US"/>
        </w:rPr>
        <w:t>g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</w:t>
      </w:r>
      <w:r>
        <w:t xml:space="preserve"> отклик</w:t>
      </w:r>
    </w:p>
    <w:p w:rsidR="0098190C" w:rsidRDefault="0098190C" w:rsidP="0098190C">
      <w:pPr>
        <w:jc w:val="center"/>
      </w:pPr>
      <w:r>
        <w:rPr>
          <w:noProof/>
          <w:vertAlign w:val="subscript"/>
        </w:rPr>
        <w:drawing>
          <wp:inline distT="0" distB="0" distL="0" distR="0" wp14:anchorId="455DFEF3" wp14:editId="420A96DB">
            <wp:extent cx="3305175" cy="466725"/>
            <wp:effectExtent l="0" t="0" r="9525" b="9525"/>
            <wp:docPr id="16" name="Picture 16" descr="C:\Users\Василий\Desktop\Нов лек ТЭС\Лекции ТЭС последние\ГЛАВА 2_files\image3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 descr="C:\Users\Василий\Desktop\Нов лек ТЭС\Лекции ТЭС последние\ГЛАВА 2_files\image313.gif"/>
                    <pic:cNvPicPr>
                      <a:picLocks noChangeAspect="1" noChangeArrowheads="1"/>
                    </pic:cNvPicPr>
                  </pic:nvPicPr>
                  <pic:blipFill>
                    <a:blip r:link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7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         (15.12)</w:t>
      </w:r>
    </w:p>
    <w:p w:rsidR="0098190C" w:rsidRDefault="0098190C" w:rsidP="0098190C">
      <w:pPr>
        <w:jc w:val="center"/>
      </w:pPr>
      <w:r>
        <w:t xml:space="preserve">Шаг дискретизации </w:t>
      </w:r>
      <w:r>
        <w:rPr>
          <w:noProof/>
          <w:vertAlign w:val="subscript"/>
        </w:rPr>
        <w:drawing>
          <wp:inline distT="0" distB="0" distL="0" distR="0" wp14:anchorId="2B4A1C96" wp14:editId="553775D7">
            <wp:extent cx="228600" cy="180975"/>
            <wp:effectExtent l="0" t="0" r="0" b="9525"/>
            <wp:docPr id="17" name="Picture 17" descr="C:\Users\Василий\Desktop\Нов лек ТЭС\Лекции ТЭС последние\ГЛАВА 2_files\image3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 descr="C:\Users\Василий\Desktop\Нов лек ТЭС\Лекции ТЭС последние\ГЛАВА 2_files\image314.gif"/>
                    <pic:cNvPicPr>
                      <a:picLocks noChangeAspect="1" noChangeArrowheads="1"/>
                    </pic:cNvPicPr>
                  </pic:nvPicPr>
                  <pic:blipFill>
                    <a:blip r:link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 можно выбрать равным интервалу корреляции входного процесса 1/</w:t>
      </w:r>
      <w:proofErr w:type="spellStart"/>
      <w:r>
        <w:rPr>
          <w:lang w:val="en-US"/>
        </w:rPr>
        <w:t>F</w:t>
      </w:r>
      <w:r>
        <w:rPr>
          <w:vertAlign w:val="subscript"/>
          <w:lang w:val="en-US"/>
        </w:rPr>
        <w:t>x</w:t>
      </w:r>
      <w:proofErr w:type="spellEnd"/>
      <w:r>
        <w:t xml:space="preserve">. Допустим, что входной процесс центрирован </w:t>
      </w:r>
      <w:r>
        <w:rPr>
          <w:noProof/>
          <w:vertAlign w:val="subscript"/>
        </w:rPr>
        <w:drawing>
          <wp:inline distT="0" distB="0" distL="0" distR="0" wp14:anchorId="4BB0A0A8" wp14:editId="521027EB">
            <wp:extent cx="180975" cy="200025"/>
            <wp:effectExtent l="0" t="0" r="9525" b="9525"/>
            <wp:docPr id="18" name="Picture 18" descr="C:\Users\Василий\Desktop\Нов лек ТЭС\Лекции ТЭС последние\ГЛАВА 2_files\image31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 descr="C:\Users\Василий\Desktop\Нов лек ТЭС\Лекции ТЭС последние\ГЛАВА 2_files\image315.gif"/>
                    <pic:cNvPicPr>
                      <a:picLocks noChangeAspect="1" noChangeArrowheads="1"/>
                    </pic:cNvPicPr>
                  </pic:nvPicPr>
                  <pic:blipFill>
                    <a:blip r:link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 xml:space="preserve">)=0, </w:t>
      </w:r>
      <w:r>
        <w:t xml:space="preserve">тогда центрирован и выходной процесс. Узкая полоса пропускания </w:t>
      </w:r>
      <w:r>
        <w:rPr>
          <w:noProof/>
          <w:vertAlign w:val="subscript"/>
        </w:rPr>
        <w:drawing>
          <wp:inline distT="0" distB="0" distL="0" distR="0" wp14:anchorId="50D848DF" wp14:editId="14707F70">
            <wp:extent cx="257175" cy="161925"/>
            <wp:effectExtent l="0" t="0" r="9525" b="9525"/>
            <wp:docPr id="19" name="Picture 19" descr="C:\Users\Василий\Desktop\Нов лек ТЭС\Лекции ТЭС последние\ГЛАВА 2_files\image3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 descr="C:\Users\Василий\Desktop\Нов лек ТЭС\Лекции ТЭС последние\ГЛАВА 2_files\image316.gif"/>
                    <pic:cNvPicPr>
                      <a:picLocks noChangeAspect="1" noChangeArrowheads="1"/>
                    </pic:cNvPicPr>
                  </pic:nvPicPr>
                  <pic:blipFill>
                    <a:blip r:link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означа</w:t>
      </w:r>
      <w:r>
        <w:softHyphen/>
        <w:t xml:space="preserve">ет, что длительность импульсной характеристики τ велика по сравнению с </w:t>
      </w:r>
      <w:r>
        <w:rPr>
          <w:noProof/>
          <w:vertAlign w:val="subscript"/>
        </w:rPr>
        <w:drawing>
          <wp:inline distT="0" distB="0" distL="0" distR="0" wp14:anchorId="3AD598CC" wp14:editId="2F538AEC">
            <wp:extent cx="228600" cy="180975"/>
            <wp:effectExtent l="0" t="0" r="0" b="9525"/>
            <wp:docPr id="20" name="Picture 20" descr="C:\Users\Василий\Desktop\Нов лек ТЭС\Лекции ТЭС последние\ГЛАВА 2_files\image3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 descr="C:\Users\Василий\Desktop\Нов лек ТЭС\Лекции ТЭС последние\ГЛАВА 2_files\image314.gif"/>
                    <pic:cNvPicPr>
                      <a:picLocks noChangeAspect="1" noChangeArrowheads="1"/>
                    </pic:cNvPicPr>
                  </pic:nvPicPr>
                  <pic:blipFill>
                    <a:blip r:link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. Сечение выходного процесса </w:t>
      </w:r>
      <w:r>
        <w:rPr>
          <w:i/>
          <w:iCs/>
          <w:lang w:val="en-US"/>
        </w:rPr>
        <w:t>Y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</w:t>
      </w:r>
      <w:r>
        <w:t xml:space="preserve"> в любой момент времени </w:t>
      </w:r>
      <w:r>
        <w:rPr>
          <w:i/>
          <w:iCs/>
          <w:lang w:val="en-US"/>
        </w:rPr>
        <w:t>t</w:t>
      </w:r>
      <w:r>
        <w:t xml:space="preserve"> определяется со</w:t>
      </w:r>
      <w:r>
        <w:softHyphen/>
        <w:t xml:space="preserve">гласно (15.12) </w:t>
      </w:r>
      <w:r>
        <w:rPr>
          <w:i/>
          <w:iCs/>
        </w:rPr>
        <w:t>N</w:t>
      </w:r>
      <w:r>
        <w:t xml:space="preserve"> слагаемыми суммы. В эту сумму входит много некоррелиро</w:t>
      </w:r>
      <w:r>
        <w:softHyphen/>
        <w:t xml:space="preserve">ванных между собой сечений процесса </w:t>
      </w:r>
      <w:r>
        <w:rPr>
          <w:i/>
          <w:iCs/>
          <w:lang w:val="en-US"/>
        </w:rPr>
        <w:t>X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).</w:t>
      </w:r>
      <w:r>
        <w:t xml:space="preserve"> Распределение вероятностей такой суммы согласно центральной предельной теореме теории вероятности близко к гауссовскому (тем ближе, чем больше </w:t>
      </w:r>
      <w:r>
        <w:rPr>
          <w:i/>
          <w:iCs/>
          <w:lang w:val="en-US"/>
        </w:rPr>
        <w:t>N</w:t>
      </w:r>
      <w:r>
        <w:rPr>
          <w:i/>
          <w:iCs/>
        </w:rPr>
        <w:t>,</w:t>
      </w:r>
      <w:r>
        <w:t xml:space="preserve"> определяемое отношением </w:t>
      </w:r>
      <w:proofErr w:type="spellStart"/>
      <w:r>
        <w:rPr>
          <w:i/>
          <w:iCs/>
          <w:lang w:val="en-US"/>
        </w:rPr>
        <w:t>Fx</w:t>
      </w:r>
      <w:proofErr w:type="spellEnd"/>
      <w:r>
        <w:rPr>
          <w:i/>
          <w:iCs/>
        </w:rPr>
        <w:t>/∆</w:t>
      </w:r>
      <w:r>
        <w:rPr>
          <w:i/>
          <w:iCs/>
          <w:lang w:val="en-US"/>
        </w:rPr>
        <w:t>F</w:t>
      </w:r>
      <w:r>
        <w:rPr>
          <w:i/>
          <w:iCs/>
        </w:rPr>
        <w:t>).</w:t>
      </w:r>
      <w:r>
        <w:t xml:space="preserve"> В предельном случае, если на вход канала воздействует белый шум, у которого ширина спектра бесконечна (не совпадающие во времени отсчёты не коррелированы), а канал имеет ограниченную полосу пропускания, то </w:t>
      </w:r>
      <w:r>
        <w:rPr>
          <w:i/>
          <w:iCs/>
        </w:rPr>
        <w:t>N</w:t>
      </w:r>
      <w:r>
        <w:rPr>
          <w:i/>
          <w:noProof/>
          <w:vertAlign w:val="subscript"/>
        </w:rPr>
        <w:drawing>
          <wp:inline distT="0" distB="0" distL="0" distR="0" wp14:anchorId="33055E25" wp14:editId="6FF9862F">
            <wp:extent cx="342900" cy="142875"/>
            <wp:effectExtent l="0" t="0" r="0" b="9525"/>
            <wp:docPr id="21" name="Picture 21" descr="C:\Users\Василий\Desktop\Нов лек ТЭС\Лекции ТЭС последние\ГЛАВА 2_files\image31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 descr="C:\Users\Василий\Desktop\Нов лек ТЭС\Лекции ТЭС последние\ГЛАВА 2_files\image317.gif"/>
                    <pic:cNvPicPr>
                      <a:picLocks noChangeAspect="1" noChangeArrowheads="1"/>
                    </pic:cNvPicPr>
                  </pic:nvPicPr>
                  <pic:blipFill>
                    <a:blip r:link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и выход</w:t>
      </w:r>
      <w:r>
        <w:softHyphen/>
        <w:t>ной процесс будет строго гауссовским. Отмеченное свойство линейного канала сохраняется и при изменении параметров канала.</w:t>
      </w:r>
    </w:p>
    <w:p w:rsidR="0098190C" w:rsidRDefault="0098190C" w:rsidP="0098190C">
      <w:pPr>
        <w:jc w:val="center"/>
      </w:pPr>
      <w:r>
        <w:t xml:space="preserve">ФК выходного стационарного процесса </w:t>
      </w:r>
      <w:r>
        <w:rPr>
          <w:i/>
          <w:iCs/>
          <w:lang w:val="en-US"/>
        </w:rPr>
        <w:t>Y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</w:t>
      </w:r>
      <w:r>
        <w:rPr>
          <w:i/>
          <w:noProof/>
          <w:vertAlign w:val="subscript"/>
        </w:rPr>
        <w:drawing>
          <wp:inline distT="0" distB="0" distL="0" distR="0" wp14:anchorId="529DA39F" wp14:editId="049AEFFE">
            <wp:extent cx="1743075" cy="419100"/>
            <wp:effectExtent l="0" t="0" r="9525" b="0"/>
            <wp:docPr id="22" name="Picture 22" descr="C:\Users\Василий\Desktop\Нов лек ТЭС\Лекции ТЭС последние\ГЛАВА 2_files\image3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 descr="C:\Users\Василий\Desktop\Нов лек ТЭС\Лекции ТЭС последние\ГЛАВА 2_files\image318.gif"/>
                    <pic:cNvPicPr>
                      <a:picLocks noChangeAspect="1" noChangeArrowheads="1"/>
                    </pic:cNvPicPr>
                  </pic:nvPicPr>
                  <pic:blipFill>
                    <a:blip r:link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iCs/>
        </w:rPr>
        <w:t>.</w:t>
      </w:r>
    </w:p>
    <w:p w:rsidR="0098190C" w:rsidRDefault="0098190C" w:rsidP="0098190C">
      <w:pPr>
        <w:jc w:val="center"/>
      </w:pPr>
      <w:r>
        <w:t xml:space="preserve">Предположим, что на входе </w:t>
      </w:r>
      <w:r>
        <w:rPr>
          <w:i/>
          <w:iCs/>
        </w:rPr>
        <w:t xml:space="preserve">безынерционной нелинейной системы присутствует случайный сигнал </w:t>
      </w:r>
      <w:r>
        <w:rPr>
          <w:i/>
          <w:iCs/>
          <w:lang w:val="en-US"/>
        </w:rPr>
        <w:t>x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</w:t>
      </w:r>
      <w:r>
        <w:t xml:space="preserve">, являющийся одной из реализаций стационарного случайного процесса </w:t>
      </w:r>
      <w:r>
        <w:rPr>
          <w:i/>
          <w:iCs/>
          <w:lang w:val="en-US"/>
        </w:rPr>
        <w:t>X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 xml:space="preserve">). </w:t>
      </w:r>
      <w:r>
        <w:t xml:space="preserve">Выходной сигнал </w:t>
      </w:r>
      <w:r>
        <w:rPr>
          <w:i/>
          <w:iCs/>
          <w:lang w:val="en-US"/>
        </w:rPr>
        <w:t>y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 xml:space="preserve">) </w:t>
      </w:r>
      <w:r>
        <w:t>связан с входным воздейст</w:t>
      </w:r>
      <w:r>
        <w:softHyphen/>
        <w:t xml:space="preserve">вием зависимостью вида </w:t>
      </w:r>
      <w:r>
        <w:rPr>
          <w:i/>
          <w:iCs/>
          <w:lang w:val="en-US"/>
        </w:rPr>
        <w:t>y</w:t>
      </w:r>
      <w:r>
        <w:rPr>
          <w:i/>
          <w:iCs/>
        </w:rPr>
        <w:t>{</w:t>
      </w:r>
      <w:r>
        <w:rPr>
          <w:i/>
          <w:iCs/>
          <w:lang w:val="en-US"/>
        </w:rPr>
        <w:t>t</w:t>
      </w:r>
      <w:r>
        <w:rPr>
          <w:i/>
          <w:iCs/>
        </w:rPr>
        <w:t>)=</w:t>
      </w:r>
      <w:r>
        <w:rPr>
          <w:i/>
          <w:iCs/>
          <w:lang w:val="en-US"/>
        </w:rPr>
        <w:t>f</w:t>
      </w:r>
      <w:r>
        <w:rPr>
          <w:i/>
          <w:iCs/>
        </w:rPr>
        <w:t>[</w:t>
      </w:r>
      <w:r>
        <w:rPr>
          <w:i/>
          <w:iCs/>
          <w:lang w:val="en-US"/>
        </w:rPr>
        <w:t>x</w:t>
      </w:r>
      <w:r>
        <w:rPr>
          <w:i/>
          <w:iCs/>
        </w:rPr>
        <w:t>{</w:t>
      </w:r>
      <w:r>
        <w:rPr>
          <w:i/>
          <w:iCs/>
          <w:lang w:val="en-US"/>
        </w:rPr>
        <w:t>t</w:t>
      </w:r>
      <w:r>
        <w:rPr>
          <w:i/>
          <w:iCs/>
        </w:rPr>
        <w:t xml:space="preserve">)]; </w:t>
      </w:r>
      <w:r>
        <w:t>ансамбль реализа</w:t>
      </w:r>
      <w:r>
        <w:softHyphen/>
        <w:t xml:space="preserve">ций </w:t>
      </w:r>
      <w:r>
        <w:rPr>
          <w:i/>
          <w:iCs/>
          <w:lang w:val="en-US"/>
        </w:rPr>
        <w:t>y</w:t>
      </w:r>
      <w:r>
        <w:rPr>
          <w:i/>
          <w:iCs/>
        </w:rPr>
        <w:t>{</w:t>
      </w:r>
      <w:r>
        <w:rPr>
          <w:i/>
          <w:iCs/>
          <w:lang w:val="en-US"/>
        </w:rPr>
        <w:t>t</w:t>
      </w:r>
      <w:r>
        <w:rPr>
          <w:i/>
          <w:iCs/>
        </w:rPr>
        <w:t xml:space="preserve">) </w:t>
      </w:r>
      <w:r>
        <w:t xml:space="preserve">задает стационарный случайный процесс </w:t>
      </w:r>
      <w:r>
        <w:rPr>
          <w:lang w:val="en-US"/>
        </w:rPr>
        <w:t>Y</w:t>
      </w:r>
      <w:r>
        <w:t>(</w:t>
      </w:r>
      <w:r>
        <w:rPr>
          <w:lang w:val="en-US"/>
        </w:rPr>
        <w:t>t</w:t>
      </w:r>
      <w:r>
        <w:t xml:space="preserve">), Ставится задача найти связь между статистическими характеристиками процессов  </w:t>
      </w:r>
      <w:r>
        <w:rPr>
          <w:i/>
          <w:iCs/>
          <w:lang w:val="en-US"/>
        </w:rPr>
        <w:t>X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 xml:space="preserve">) и   </w:t>
      </w:r>
      <w:r>
        <w:rPr>
          <w:i/>
          <w:iCs/>
          <w:lang w:val="en-US"/>
        </w:rPr>
        <w:t>Y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 xml:space="preserve">).  </w:t>
      </w:r>
      <w:r>
        <w:t>При  этом  возможны два частных подхода:</w:t>
      </w:r>
    </w:p>
    <w:p w:rsidR="0098190C" w:rsidRDefault="0098190C" w:rsidP="0098190C">
      <w:pPr>
        <w:jc w:val="center"/>
      </w:pPr>
      <w:r>
        <w:t>1)  По известной и-мерной плотности вероятности вход</w:t>
      </w:r>
      <w:r>
        <w:softHyphen/>
        <w:t>ного случайного процесса р</w:t>
      </w:r>
      <w:r>
        <w:rPr>
          <w:vertAlign w:val="subscript"/>
        </w:rPr>
        <w:t>вх</w:t>
      </w:r>
      <w:r>
        <w:t>(х</w:t>
      </w:r>
      <w:r>
        <w:rPr>
          <w:vertAlign w:val="subscript"/>
        </w:rPr>
        <w:t>1</w:t>
      </w:r>
      <w:r>
        <w:t xml:space="preserve">,  </w:t>
      </w:r>
      <w:r>
        <w:rPr>
          <w:i/>
          <w:iCs/>
        </w:rPr>
        <w:t>х</w:t>
      </w:r>
      <w:r>
        <w:rPr>
          <w:i/>
          <w:iCs/>
          <w:vertAlign w:val="subscript"/>
        </w:rPr>
        <w:t>2</w:t>
      </w:r>
      <w:r>
        <w:rPr>
          <w:i/>
          <w:iCs/>
        </w:rPr>
        <w:t>,...,х</w:t>
      </w:r>
      <w:r>
        <w:rPr>
          <w:i/>
          <w:iCs/>
          <w:vertAlign w:val="subscript"/>
          <w:lang w:val="en-US"/>
        </w:rPr>
        <w:t>n</w:t>
      </w:r>
      <w:r>
        <w:rPr>
          <w:i/>
          <w:iCs/>
        </w:rPr>
        <w:t xml:space="preserve">; </w:t>
      </w:r>
      <w:proofErr w:type="spellStart"/>
      <w:r>
        <w:rPr>
          <w:i/>
          <w:iCs/>
          <w:lang w:val="en-US"/>
        </w:rPr>
        <w:t>t</w:t>
      </w:r>
      <w:r>
        <w:rPr>
          <w:i/>
          <w:iCs/>
          <w:vertAlign w:val="subscript"/>
          <w:lang w:val="en-US"/>
        </w:rPr>
        <w:t>l</w:t>
      </w:r>
      <w:proofErr w:type="spellEnd"/>
      <w:r>
        <w:rPr>
          <w:i/>
          <w:iCs/>
          <w:vertAlign w:val="subscript"/>
        </w:rPr>
        <w:t xml:space="preserve"> , </w:t>
      </w:r>
      <w:r>
        <w:rPr>
          <w:i/>
          <w:iCs/>
          <w:lang w:val="en-US"/>
        </w:rPr>
        <w:t>t</w:t>
      </w:r>
      <w:r>
        <w:rPr>
          <w:i/>
          <w:iCs/>
          <w:vertAlign w:val="subscript"/>
        </w:rPr>
        <w:t>2</w:t>
      </w:r>
      <w:r>
        <w:rPr>
          <w:i/>
          <w:iCs/>
        </w:rPr>
        <w:t>,...,</w:t>
      </w:r>
      <w:proofErr w:type="spellStart"/>
      <w:r>
        <w:rPr>
          <w:i/>
          <w:iCs/>
          <w:lang w:val="en-US"/>
        </w:rPr>
        <w:t>t</w:t>
      </w:r>
      <w:r>
        <w:rPr>
          <w:i/>
          <w:iCs/>
          <w:vertAlign w:val="subscript"/>
          <w:lang w:val="en-US"/>
        </w:rPr>
        <w:t>n</w:t>
      </w:r>
      <w:proofErr w:type="spellEnd"/>
      <w:r>
        <w:rPr>
          <w:i/>
          <w:iCs/>
        </w:rPr>
        <w:t xml:space="preserve">) </w:t>
      </w:r>
      <w:r>
        <w:t>ищут аналогичную функцию р</w:t>
      </w:r>
      <w:r>
        <w:rPr>
          <w:vertAlign w:val="subscript"/>
        </w:rPr>
        <w:t>вых</w:t>
      </w:r>
      <w:r>
        <w:t>(</w:t>
      </w:r>
      <w:r>
        <w:rPr>
          <w:lang w:val="en-US"/>
        </w:rPr>
        <w:t>y</w:t>
      </w:r>
      <w:r>
        <w:rPr>
          <w:vertAlign w:val="subscript"/>
        </w:rPr>
        <w:t>1</w:t>
      </w:r>
      <w:r>
        <w:t xml:space="preserve">,  </w:t>
      </w:r>
      <w:r>
        <w:rPr>
          <w:lang w:val="en-US"/>
        </w:rPr>
        <w:t>y</w:t>
      </w:r>
      <w:r>
        <w:rPr>
          <w:i/>
          <w:iCs/>
          <w:vertAlign w:val="subscript"/>
        </w:rPr>
        <w:t>2</w:t>
      </w:r>
      <w:r>
        <w:rPr>
          <w:i/>
          <w:iCs/>
        </w:rPr>
        <w:t>,...,</w:t>
      </w:r>
      <w:proofErr w:type="spellStart"/>
      <w:r>
        <w:rPr>
          <w:i/>
          <w:iCs/>
          <w:lang w:val="en-US"/>
        </w:rPr>
        <w:t>y</w:t>
      </w:r>
      <w:r>
        <w:rPr>
          <w:i/>
          <w:iCs/>
          <w:vertAlign w:val="subscript"/>
          <w:lang w:val="en-US"/>
        </w:rPr>
        <w:t>n</w:t>
      </w:r>
      <w:proofErr w:type="spellEnd"/>
      <w:r>
        <w:rPr>
          <w:i/>
          <w:iCs/>
        </w:rPr>
        <w:t xml:space="preserve">; </w:t>
      </w:r>
      <w:proofErr w:type="spellStart"/>
      <w:r>
        <w:rPr>
          <w:i/>
          <w:iCs/>
          <w:lang w:val="en-US"/>
        </w:rPr>
        <w:t>t</w:t>
      </w:r>
      <w:r>
        <w:rPr>
          <w:i/>
          <w:iCs/>
          <w:vertAlign w:val="subscript"/>
          <w:lang w:val="en-US"/>
        </w:rPr>
        <w:t>l</w:t>
      </w:r>
      <w:proofErr w:type="spellEnd"/>
      <w:r>
        <w:rPr>
          <w:i/>
          <w:iCs/>
          <w:vertAlign w:val="subscript"/>
        </w:rPr>
        <w:t xml:space="preserve"> , </w:t>
      </w:r>
      <w:r>
        <w:rPr>
          <w:i/>
          <w:iCs/>
          <w:lang w:val="en-US"/>
        </w:rPr>
        <w:t>t</w:t>
      </w:r>
      <w:r>
        <w:rPr>
          <w:i/>
          <w:iCs/>
          <w:vertAlign w:val="subscript"/>
        </w:rPr>
        <w:t>2</w:t>
      </w:r>
      <w:r>
        <w:rPr>
          <w:i/>
          <w:iCs/>
        </w:rPr>
        <w:t>,...,</w:t>
      </w:r>
      <w:proofErr w:type="spellStart"/>
      <w:r>
        <w:rPr>
          <w:i/>
          <w:iCs/>
          <w:lang w:val="en-US"/>
        </w:rPr>
        <w:t>t</w:t>
      </w:r>
      <w:r>
        <w:rPr>
          <w:i/>
          <w:iCs/>
          <w:vertAlign w:val="subscript"/>
          <w:lang w:val="en-US"/>
        </w:rPr>
        <w:t>n</w:t>
      </w:r>
      <w:proofErr w:type="spellEnd"/>
      <w:r>
        <w:rPr>
          <w:i/>
          <w:iCs/>
        </w:rPr>
        <w:t>)</w:t>
      </w:r>
      <w:r>
        <w:t>опреде</w:t>
      </w:r>
      <w:r>
        <w:softHyphen/>
        <w:t>ляющую выходной сигнал.</w:t>
      </w:r>
    </w:p>
    <w:p w:rsidR="0098190C" w:rsidRDefault="0098190C" w:rsidP="0098190C">
      <w:pPr>
        <w:jc w:val="center"/>
      </w:pPr>
      <w:r>
        <w:t xml:space="preserve">2)  Исследование проводят в рамках корреляционной теории — ищут математическое ожидание </w:t>
      </w:r>
      <w:r>
        <w:rPr>
          <w:i/>
          <w:iCs/>
        </w:rPr>
        <w:t>т</w:t>
      </w:r>
      <w:r>
        <w:rPr>
          <w:i/>
          <w:iCs/>
          <w:vertAlign w:val="subscript"/>
        </w:rPr>
        <w:t>у</w:t>
      </w:r>
      <w:r>
        <w:rPr>
          <w:i/>
          <w:iCs/>
        </w:rPr>
        <w:t xml:space="preserve"> </w:t>
      </w:r>
      <w:r>
        <w:t xml:space="preserve">и функцию корреляции </w:t>
      </w:r>
      <w:proofErr w:type="spellStart"/>
      <w:r>
        <w:rPr>
          <w:i/>
          <w:iCs/>
          <w:lang w:val="en-US"/>
        </w:rPr>
        <w:t>R</w:t>
      </w:r>
      <w:r>
        <w:rPr>
          <w:i/>
          <w:iCs/>
          <w:vertAlign w:val="subscript"/>
          <w:lang w:val="en-US"/>
        </w:rPr>
        <w:t>y</w:t>
      </w:r>
      <w:proofErr w:type="spellEnd"/>
      <w:r>
        <w:rPr>
          <w:i/>
          <w:iCs/>
        </w:rPr>
        <w:t>(</w:t>
      </w:r>
      <w:r>
        <w:rPr>
          <w:rFonts w:ascii="Symbol" w:hAnsi="Symbol"/>
          <w:i/>
          <w:iCs/>
        </w:rPr>
        <w:t></w:t>
      </w:r>
      <w:r>
        <w:rPr>
          <w:i/>
          <w:iCs/>
        </w:rPr>
        <w:t xml:space="preserve">) </w:t>
      </w:r>
      <w:r>
        <w:t xml:space="preserve">выходного случайного процесса.   Наряду </w:t>
      </w:r>
      <w:r>
        <w:rPr>
          <w:i/>
          <w:iCs/>
        </w:rPr>
        <w:t xml:space="preserve">с </w:t>
      </w:r>
      <w:r>
        <w:t xml:space="preserve">функцией корреляции интерес может представлять спектральная плотность мощности </w:t>
      </w:r>
      <w:proofErr w:type="spellStart"/>
      <w:r>
        <w:rPr>
          <w:lang w:val="en-US"/>
        </w:rPr>
        <w:t>W</w:t>
      </w:r>
      <w:r>
        <w:rPr>
          <w:vertAlign w:val="subscript"/>
          <w:lang w:val="en-US"/>
        </w:rPr>
        <w:t>y</w:t>
      </w:r>
      <w:proofErr w:type="spellEnd"/>
      <w:r>
        <w:t>(</w:t>
      </w:r>
      <w:r>
        <w:rPr>
          <w:rFonts w:ascii="Symbol" w:hAnsi="Symbol"/>
        </w:rPr>
        <w:t></w:t>
      </w:r>
      <w:r>
        <w:t>) выходного сигнала.</w:t>
      </w:r>
    </w:p>
    <w:p w:rsidR="0098190C" w:rsidRDefault="0098190C" w:rsidP="0098190C">
      <w:pPr>
        <w:jc w:val="center"/>
      </w:pPr>
      <w:r>
        <w:t xml:space="preserve">Если </w:t>
      </w:r>
      <w:r>
        <w:rPr>
          <w:lang w:val="en-US"/>
        </w:rPr>
        <w:t>x</w:t>
      </w:r>
      <w:r>
        <w:rPr>
          <w:vertAlign w:val="subscript"/>
        </w:rPr>
        <w:t>1</w:t>
      </w:r>
      <w:r>
        <w:t xml:space="preserve">, </w:t>
      </w:r>
      <w:r>
        <w:rPr>
          <w:lang w:val="en-US"/>
        </w:rPr>
        <w:t>x</w:t>
      </w:r>
      <w:r>
        <w:rPr>
          <w:vertAlign w:val="subscript"/>
        </w:rPr>
        <w:t>2</w:t>
      </w:r>
      <w:r>
        <w:t xml:space="preserve">, ..-, </w:t>
      </w:r>
      <w:r>
        <w:rPr>
          <w:i/>
          <w:iCs/>
        </w:rPr>
        <w:t>х</w:t>
      </w:r>
      <w:r>
        <w:rPr>
          <w:i/>
          <w:iCs/>
          <w:vertAlign w:val="subscript"/>
          <w:lang w:val="en-US"/>
        </w:rPr>
        <w:t>n</w:t>
      </w:r>
      <w:r w:rsidRPr="00DF3D91">
        <w:rPr>
          <w:i/>
          <w:iCs/>
        </w:rPr>
        <w:t xml:space="preserve"> </w:t>
      </w:r>
      <w:r>
        <w:t>— случайные значения, наблю</w:t>
      </w:r>
      <w:r>
        <w:softHyphen/>
        <w:t xml:space="preserve">даемые на входе в моменты времени </w:t>
      </w:r>
      <w:r>
        <w:rPr>
          <w:lang w:val="en-US"/>
        </w:rPr>
        <w:t>t</w:t>
      </w:r>
      <w:r>
        <w:rPr>
          <w:vertAlign w:val="subscript"/>
        </w:rPr>
        <w:t>1</w:t>
      </w:r>
      <w:r>
        <w:t xml:space="preserve">, </w:t>
      </w:r>
      <w:r>
        <w:rPr>
          <w:i/>
          <w:iCs/>
          <w:lang w:val="en-US"/>
        </w:rPr>
        <w:t>t</w:t>
      </w:r>
      <w:r>
        <w:rPr>
          <w:i/>
          <w:iCs/>
          <w:vertAlign w:val="subscript"/>
        </w:rPr>
        <w:t>2</w:t>
      </w:r>
      <w:r>
        <w:rPr>
          <w:i/>
          <w:iCs/>
        </w:rPr>
        <w:t>,...,</w:t>
      </w:r>
      <w:proofErr w:type="spellStart"/>
      <w:proofErr w:type="gramStart"/>
      <w:r>
        <w:rPr>
          <w:i/>
          <w:iCs/>
          <w:lang w:val="en-US"/>
        </w:rPr>
        <w:t>t</w:t>
      </w:r>
      <w:r>
        <w:rPr>
          <w:i/>
          <w:iCs/>
          <w:vertAlign w:val="subscript"/>
          <w:lang w:val="en-US"/>
        </w:rPr>
        <w:t>n</w:t>
      </w:r>
      <w:proofErr w:type="spellEnd"/>
      <w:proofErr w:type="gramEnd"/>
      <w:r w:rsidRPr="00DF3D91">
        <w:rPr>
          <w:i/>
          <w:iCs/>
        </w:rPr>
        <w:t xml:space="preserve"> </w:t>
      </w:r>
      <w:r>
        <w:t>соот</w:t>
      </w:r>
      <w:r>
        <w:softHyphen/>
        <w:t>ветственно, то, учитывая безынерционный характер преобразо</w:t>
      </w:r>
      <w:r>
        <w:softHyphen/>
        <w:t>вания,   имеем   на   выходе   в   те   же   моменты   времени</w:t>
      </w:r>
    </w:p>
    <w:p w:rsidR="0098190C" w:rsidRDefault="0098190C" w:rsidP="0098190C">
      <w:pPr>
        <w:jc w:val="center"/>
      </w:pPr>
      <w:r>
        <w:rPr>
          <w:lang w:val="es-CO"/>
        </w:rPr>
        <w:t>y</w:t>
      </w:r>
      <w:r>
        <w:rPr>
          <w:vertAlign w:val="subscript"/>
          <w:lang w:val="es-CO"/>
        </w:rPr>
        <w:t>1</w:t>
      </w:r>
      <w:r>
        <w:rPr>
          <w:lang w:val="es-CO"/>
        </w:rPr>
        <w:t>=f(x</w:t>
      </w:r>
      <w:r>
        <w:rPr>
          <w:vertAlign w:val="subscript"/>
          <w:lang w:val="es-CO"/>
        </w:rPr>
        <w:t>1</w:t>
      </w:r>
      <w:r>
        <w:rPr>
          <w:lang w:val="es-CO"/>
        </w:rPr>
        <w:t>), y</w:t>
      </w:r>
      <w:r>
        <w:rPr>
          <w:vertAlign w:val="subscript"/>
          <w:lang w:val="es-CO"/>
        </w:rPr>
        <w:t>2</w:t>
      </w:r>
      <w:r>
        <w:rPr>
          <w:lang w:val="es-CO"/>
        </w:rPr>
        <w:t>=f(x</w:t>
      </w:r>
      <w:r>
        <w:rPr>
          <w:vertAlign w:val="subscript"/>
          <w:lang w:val="es-CO"/>
        </w:rPr>
        <w:t>2</w:t>
      </w:r>
      <w:r>
        <w:rPr>
          <w:lang w:val="es-CO"/>
        </w:rPr>
        <w:t xml:space="preserve">),…, </w:t>
      </w:r>
      <w:proofErr w:type="spellStart"/>
      <w:r>
        <w:rPr>
          <w:lang w:val="es-CO"/>
        </w:rPr>
        <w:t>y</w:t>
      </w:r>
      <w:r>
        <w:rPr>
          <w:vertAlign w:val="subscript"/>
          <w:lang w:val="es-CO"/>
        </w:rPr>
        <w:t>n</w:t>
      </w:r>
      <w:proofErr w:type="spellEnd"/>
      <w:r>
        <w:rPr>
          <w:lang w:val="es-CO"/>
        </w:rPr>
        <w:t>=</w:t>
      </w:r>
      <w:proofErr w:type="gramStart"/>
      <w:r>
        <w:rPr>
          <w:lang w:val="es-CO"/>
        </w:rPr>
        <w:t>f(</w:t>
      </w:r>
      <w:proofErr w:type="spellStart"/>
      <w:proofErr w:type="gramEnd"/>
      <w:r>
        <w:rPr>
          <w:lang w:val="es-CO"/>
        </w:rPr>
        <w:t>x</w:t>
      </w:r>
      <w:r>
        <w:rPr>
          <w:vertAlign w:val="subscript"/>
          <w:lang w:val="es-CO"/>
        </w:rPr>
        <w:t>n</w:t>
      </w:r>
      <w:proofErr w:type="spellEnd"/>
      <w:r>
        <w:rPr>
          <w:lang w:val="es-CO"/>
        </w:rPr>
        <w:t xml:space="preserve">).                             </w:t>
      </w:r>
      <w:r>
        <w:t>(15.13)</w:t>
      </w:r>
    </w:p>
    <w:p w:rsidR="0098190C" w:rsidRDefault="0098190C" w:rsidP="0098190C">
      <w:pPr>
        <w:jc w:val="center"/>
      </w:pPr>
      <w:r>
        <w:t xml:space="preserve">Применив обратную функцию </w:t>
      </w:r>
      <w:r>
        <w:rPr>
          <w:i/>
          <w:iCs/>
          <w:lang w:val="en-US"/>
        </w:rPr>
        <w:t>x</w:t>
      </w:r>
      <w:r>
        <w:rPr>
          <w:i/>
          <w:iCs/>
        </w:rPr>
        <w:t>=</w:t>
      </w:r>
      <w:r>
        <w:rPr>
          <w:i/>
          <w:iCs/>
          <w:lang w:val="en-US"/>
        </w:rPr>
        <w:t>g</w:t>
      </w:r>
      <w:r>
        <w:rPr>
          <w:i/>
          <w:iCs/>
        </w:rPr>
        <w:t>(</w:t>
      </w:r>
      <w:r>
        <w:rPr>
          <w:i/>
          <w:iCs/>
          <w:lang w:val="en-US"/>
        </w:rPr>
        <w:t>y</w:t>
      </w:r>
      <w:r>
        <w:rPr>
          <w:i/>
          <w:iCs/>
        </w:rPr>
        <w:t xml:space="preserve">), </w:t>
      </w:r>
      <w:r>
        <w:t>получим</w:t>
      </w:r>
    </w:p>
    <w:p w:rsidR="0098190C" w:rsidRDefault="0098190C" w:rsidP="0098190C">
      <w:pPr>
        <w:jc w:val="center"/>
      </w:pPr>
      <w:proofErr w:type="gramStart"/>
      <w:r>
        <w:rPr>
          <w:lang w:val="es-CO"/>
        </w:rPr>
        <w:t>x</w:t>
      </w:r>
      <w:r>
        <w:rPr>
          <w:vertAlign w:val="subscript"/>
          <w:lang w:val="es-CO"/>
        </w:rPr>
        <w:t>1</w:t>
      </w:r>
      <w:proofErr w:type="gramEnd"/>
      <w:r>
        <w:rPr>
          <w:lang w:val="es-CO"/>
        </w:rPr>
        <w:t>=g(y</w:t>
      </w:r>
      <w:r>
        <w:rPr>
          <w:vertAlign w:val="subscript"/>
          <w:lang w:val="es-CO"/>
        </w:rPr>
        <w:t>1</w:t>
      </w:r>
      <w:r>
        <w:rPr>
          <w:lang w:val="es-CO"/>
        </w:rPr>
        <w:t xml:space="preserve">), </w:t>
      </w:r>
      <w:r>
        <w:rPr>
          <w:i/>
          <w:iCs/>
        </w:rPr>
        <w:t>х</w:t>
      </w:r>
      <w:r>
        <w:rPr>
          <w:i/>
          <w:iCs/>
          <w:vertAlign w:val="subscript"/>
          <w:lang w:val="es-CO"/>
        </w:rPr>
        <w:t>2</w:t>
      </w:r>
      <w:r>
        <w:rPr>
          <w:i/>
          <w:iCs/>
          <w:lang w:val="es-CO"/>
        </w:rPr>
        <w:t xml:space="preserve"> =g(y</w:t>
      </w:r>
      <w:r>
        <w:rPr>
          <w:i/>
          <w:iCs/>
          <w:vertAlign w:val="subscript"/>
          <w:lang w:val="es-CO"/>
        </w:rPr>
        <w:t>2</w:t>
      </w:r>
      <w:r>
        <w:rPr>
          <w:i/>
          <w:iCs/>
          <w:lang w:val="es-CO"/>
        </w:rPr>
        <w:t xml:space="preserve">),.., </w:t>
      </w:r>
      <w:r>
        <w:rPr>
          <w:i/>
          <w:iCs/>
        </w:rPr>
        <w:t>х</w:t>
      </w:r>
      <w:r>
        <w:rPr>
          <w:i/>
          <w:iCs/>
          <w:vertAlign w:val="subscript"/>
          <w:lang w:val="es-CO"/>
        </w:rPr>
        <w:t>n</w:t>
      </w:r>
      <w:r>
        <w:rPr>
          <w:i/>
          <w:iCs/>
          <w:lang w:val="es-CO"/>
        </w:rPr>
        <w:t xml:space="preserve"> </w:t>
      </w:r>
      <w:r>
        <w:rPr>
          <w:lang w:val="es-CO"/>
        </w:rPr>
        <w:t>=g(</w:t>
      </w:r>
      <w:proofErr w:type="spellStart"/>
      <w:r>
        <w:rPr>
          <w:lang w:val="es-CO"/>
        </w:rPr>
        <w:t>y</w:t>
      </w:r>
      <w:r>
        <w:rPr>
          <w:vertAlign w:val="subscript"/>
          <w:lang w:val="es-CO"/>
        </w:rPr>
        <w:t>n</w:t>
      </w:r>
      <w:proofErr w:type="spellEnd"/>
      <w:r>
        <w:rPr>
          <w:lang w:val="es-CO"/>
        </w:rPr>
        <w:t xml:space="preserve">).                                     </w:t>
      </w:r>
      <w:r>
        <w:t>(15.14)</w:t>
      </w:r>
    </w:p>
    <w:p w:rsidR="0098190C" w:rsidRDefault="0098190C" w:rsidP="0098190C">
      <w:pPr>
        <w:jc w:val="center"/>
      </w:pPr>
      <w:r>
        <w:t xml:space="preserve">Тогда многомерная </w:t>
      </w:r>
      <w:r>
        <w:rPr>
          <w:i/>
          <w:iCs/>
        </w:rPr>
        <w:t>плотность вероятности на выходе</w:t>
      </w:r>
    </w:p>
    <w:p w:rsidR="0098190C" w:rsidRDefault="0098190C" w:rsidP="0098190C">
      <w:pPr>
        <w:jc w:val="center"/>
      </w:pPr>
      <w:r>
        <w:t>р</w:t>
      </w:r>
      <w:r>
        <w:rPr>
          <w:vertAlign w:val="subscript"/>
        </w:rPr>
        <w:t>вых</w:t>
      </w:r>
      <w:r>
        <w:t>(</w:t>
      </w:r>
      <w:r>
        <w:rPr>
          <w:lang w:val="en-US"/>
        </w:rPr>
        <w:t>y</w:t>
      </w:r>
      <w:r>
        <w:rPr>
          <w:vertAlign w:val="subscript"/>
        </w:rPr>
        <w:t>1</w:t>
      </w:r>
      <w:r>
        <w:t xml:space="preserve">,  </w:t>
      </w:r>
      <w:r>
        <w:rPr>
          <w:lang w:val="en-US"/>
        </w:rPr>
        <w:t>y</w:t>
      </w:r>
      <w:r>
        <w:rPr>
          <w:i/>
          <w:iCs/>
          <w:vertAlign w:val="subscript"/>
        </w:rPr>
        <w:t>2</w:t>
      </w:r>
      <w:r>
        <w:rPr>
          <w:i/>
          <w:iCs/>
        </w:rPr>
        <w:t>,...,</w:t>
      </w:r>
      <w:proofErr w:type="spellStart"/>
      <w:proofErr w:type="gramStart"/>
      <w:r>
        <w:rPr>
          <w:i/>
          <w:iCs/>
          <w:lang w:val="en-US"/>
        </w:rPr>
        <w:t>y</w:t>
      </w:r>
      <w:r>
        <w:rPr>
          <w:i/>
          <w:iCs/>
          <w:vertAlign w:val="subscript"/>
          <w:lang w:val="en-US"/>
        </w:rPr>
        <w:t>n</w:t>
      </w:r>
      <w:proofErr w:type="spellEnd"/>
      <w:proofErr w:type="gramEnd"/>
      <w:r>
        <w:rPr>
          <w:i/>
          <w:iCs/>
          <w:vertAlign w:val="subscript"/>
        </w:rPr>
        <w:t xml:space="preserve"> = </w:t>
      </w:r>
      <w:r>
        <w:t>р</w:t>
      </w:r>
      <w:r>
        <w:rPr>
          <w:vertAlign w:val="subscript"/>
        </w:rPr>
        <w:t>вх</w:t>
      </w:r>
      <w:r>
        <w:t>[</w:t>
      </w:r>
      <w:r>
        <w:rPr>
          <w:lang w:val="en-US"/>
        </w:rPr>
        <w:t>g</w:t>
      </w:r>
      <w:r>
        <w:t>(</w:t>
      </w:r>
      <w:r>
        <w:rPr>
          <w:lang w:val="en-US"/>
        </w:rPr>
        <w:t>y</w:t>
      </w:r>
      <w:r>
        <w:rPr>
          <w:vertAlign w:val="subscript"/>
        </w:rPr>
        <w:t>1</w:t>
      </w:r>
      <w:r>
        <w:t xml:space="preserve">), </w:t>
      </w:r>
      <w:r>
        <w:rPr>
          <w:i/>
          <w:iCs/>
          <w:lang w:val="en-US"/>
        </w:rPr>
        <w:t>g</w:t>
      </w:r>
      <w:r>
        <w:rPr>
          <w:i/>
          <w:iCs/>
        </w:rPr>
        <w:t>(</w:t>
      </w:r>
      <w:r>
        <w:rPr>
          <w:i/>
          <w:iCs/>
          <w:lang w:val="en-US"/>
        </w:rPr>
        <w:t>y</w:t>
      </w:r>
      <w:r>
        <w:rPr>
          <w:i/>
          <w:iCs/>
          <w:vertAlign w:val="subscript"/>
        </w:rPr>
        <w:t>2</w:t>
      </w:r>
      <w:r>
        <w:rPr>
          <w:i/>
          <w:iCs/>
        </w:rPr>
        <w:t xml:space="preserve">),.., </w:t>
      </w:r>
      <w:r>
        <w:rPr>
          <w:lang w:val="en-US"/>
        </w:rPr>
        <w:t>g</w:t>
      </w:r>
      <w:r>
        <w:t>(</w:t>
      </w:r>
      <w:proofErr w:type="spellStart"/>
      <w:r>
        <w:rPr>
          <w:lang w:val="en-US"/>
        </w:rPr>
        <w:t>y</w:t>
      </w:r>
      <w:r>
        <w:rPr>
          <w:vertAlign w:val="subscript"/>
          <w:lang w:val="en-US"/>
        </w:rPr>
        <w:t>n</w:t>
      </w:r>
      <w:proofErr w:type="spellEnd"/>
      <w:r>
        <w:t>)]</w:t>
      </w:r>
      <w:r>
        <w:rPr>
          <w:rFonts w:ascii="Symbol" w:hAnsi="Symbol"/>
          <w:lang w:val="en-US"/>
        </w:rPr>
        <w:t></w:t>
      </w:r>
      <w:r>
        <w:rPr>
          <w:lang w:val="en-US"/>
        </w:rPr>
        <w:t>D</w:t>
      </w:r>
      <w:r>
        <w:rPr>
          <w:rFonts w:ascii="Symbol" w:hAnsi="Symbol"/>
          <w:lang w:val="en-US"/>
        </w:rPr>
        <w:t></w:t>
      </w:r>
      <w:r>
        <w:t>,    (15.15)</w:t>
      </w:r>
    </w:p>
    <w:p w:rsidR="0098190C" w:rsidRDefault="0098190C" w:rsidP="0098190C">
      <w:pPr>
        <w:jc w:val="center"/>
      </w:pPr>
      <w:r>
        <w:t xml:space="preserve">где </w:t>
      </w:r>
      <w:r>
        <w:rPr>
          <w:i/>
          <w:iCs/>
          <w:lang w:val="en-US"/>
        </w:rPr>
        <w:t>D</w:t>
      </w:r>
      <w:r>
        <w:rPr>
          <w:i/>
          <w:iCs/>
        </w:rPr>
        <w:t xml:space="preserve"> — </w:t>
      </w:r>
      <w:r>
        <w:t>якобиан преобразования функции (15.13).</w:t>
      </w:r>
    </w:p>
    <w:p w:rsidR="0098190C" w:rsidRDefault="0098190C" w:rsidP="0098190C">
      <w:pPr>
        <w:jc w:val="center"/>
      </w:pPr>
      <w:r>
        <w:t>Формула (15.15) решает поставленную задачу в самом об</w:t>
      </w:r>
      <w:r>
        <w:softHyphen/>
        <w:t>щем виде.</w:t>
      </w:r>
    </w:p>
    <w:p w:rsidR="0098190C" w:rsidRDefault="0098190C" w:rsidP="0098190C">
      <w:pPr>
        <w:jc w:val="center"/>
      </w:pPr>
      <w:r>
        <w:t xml:space="preserve">Простейшая статистическая характеристика стационарного случайного процесса — его среднее значение, получающееся путем усреднения по ансамблю реализаций. Чтобы вычислить </w:t>
      </w:r>
      <w:r>
        <w:rPr>
          <w:i/>
          <w:iCs/>
        </w:rPr>
        <w:t>среднее значение сигнала после нелинейного безынерционного преобразования</w:t>
      </w:r>
      <w:r>
        <w:t xml:space="preserve">, нужно располагать одномерной плотностью вероятности </w:t>
      </w:r>
      <w:r>
        <w:rPr>
          <w:lang w:val="en-US"/>
        </w:rPr>
        <w:t>p</w:t>
      </w:r>
      <w:r>
        <w:rPr>
          <w:vertAlign w:val="subscript"/>
        </w:rPr>
        <w:t>вых</w:t>
      </w:r>
      <w:r>
        <w:t>(</w:t>
      </w:r>
      <w:r>
        <w:rPr>
          <w:lang w:val="en-US"/>
        </w:rPr>
        <w:t>y</w:t>
      </w:r>
      <w:r>
        <w:t>). На основании принципа усреднения</w:t>
      </w:r>
    </w:p>
    <w:p w:rsidR="0098190C" w:rsidRDefault="0098190C" w:rsidP="0098190C">
      <w:pPr>
        <w:jc w:val="center"/>
      </w:pPr>
      <w:proofErr w:type="gramStart"/>
      <w:r>
        <w:rPr>
          <w:lang w:val="en-US"/>
        </w:rPr>
        <w:t>m</w:t>
      </w:r>
      <w:r>
        <w:rPr>
          <w:vertAlign w:val="subscript"/>
          <w:lang w:val="en-US"/>
        </w:rPr>
        <w:t>y</w:t>
      </w:r>
      <w:proofErr w:type="gramEnd"/>
      <w:r>
        <w:t xml:space="preserve"> =                                         (15.16)</w:t>
      </w:r>
    </w:p>
    <w:p w:rsidR="0098190C" w:rsidRDefault="0098190C" w:rsidP="0098190C">
      <w:pPr>
        <w:jc w:val="center"/>
      </w:pPr>
      <w:r>
        <w:rPr>
          <w:i/>
          <w:iCs/>
        </w:rPr>
        <w:t xml:space="preserve">Спектр колебаний на </w:t>
      </w:r>
      <w:r>
        <w:rPr>
          <w:i/>
          <w:iCs/>
          <w:spacing w:val="-4"/>
        </w:rPr>
        <w:t>выходе нелинейного преобразователя</w:t>
      </w:r>
      <w:r>
        <w:rPr>
          <w:spacing w:val="-4"/>
        </w:rPr>
        <w:t xml:space="preserve"> разбивается на бесконеч</w:t>
      </w:r>
      <w:r>
        <w:rPr>
          <w:spacing w:val="-4"/>
        </w:rPr>
        <w:softHyphen/>
      </w:r>
      <w:r>
        <w:rPr>
          <w:spacing w:val="-1"/>
        </w:rPr>
        <w:t xml:space="preserve">ную сумму составляющих, каждая из которых отображает </w:t>
      </w:r>
      <w:r>
        <w:rPr>
          <w:spacing w:val="-4"/>
        </w:rPr>
        <w:t>индивидуальный узкополосный случайный процесс. Максиму</w:t>
      </w:r>
      <w:r>
        <w:rPr>
          <w:spacing w:val="-4"/>
        </w:rPr>
        <w:softHyphen/>
      </w:r>
      <w:r>
        <w:t xml:space="preserve">мы спектральных плотностей мощности этих составляющих наблюдаются на частотах </w:t>
      </w:r>
      <w:r>
        <w:rPr>
          <w:lang w:val="en-US"/>
        </w:rPr>
        <w:t>n</w:t>
      </w:r>
      <w:r>
        <w:rPr>
          <w:rFonts w:ascii="Symbol" w:hAnsi="Symbol"/>
        </w:rPr>
        <w:t></w:t>
      </w:r>
      <w:r>
        <w:rPr>
          <w:vertAlign w:val="subscript"/>
        </w:rPr>
        <w:t>о</w:t>
      </w:r>
      <w:r>
        <w:t xml:space="preserve">. Помимо этого в спектре выходного сигнала возникает низкочастотная </w:t>
      </w:r>
      <w:r>
        <w:rPr>
          <w:spacing w:val="-3"/>
        </w:rPr>
        <w:t xml:space="preserve">составляющая в окрестности нулевой частоты, которую можно </w:t>
      </w:r>
      <w:r>
        <w:rPr>
          <w:spacing w:val="-1"/>
        </w:rPr>
        <w:t xml:space="preserve">рассматривать как результат амплитудного детектирования </w:t>
      </w:r>
      <w:r>
        <w:t>входного сигнала. П</w:t>
      </w:r>
      <w:r>
        <w:rPr>
          <w:spacing w:val="-5"/>
        </w:rPr>
        <w:t xml:space="preserve">ри различных видах характеристики </w:t>
      </w:r>
      <w:r>
        <w:t>нелинейного элемента можно ожидать появления тех или иных гармоник центральной частоты входного случай</w:t>
      </w:r>
      <w:r>
        <w:softHyphen/>
        <w:t>ного колебания.</w:t>
      </w:r>
    </w:p>
    <w:p w:rsidR="0098190C" w:rsidRDefault="0098190C" w:rsidP="0098190C">
      <w:pPr>
        <w:jc w:val="center"/>
      </w:pPr>
      <w:r>
        <w:t xml:space="preserve">Часто приходится рассматривать </w:t>
      </w:r>
      <w:r>
        <w:rPr>
          <w:i/>
          <w:iCs/>
        </w:rPr>
        <w:t>воздействие на линейные частотно-избирательные цепи широкополосных случайных сигналов</w:t>
      </w:r>
      <w:r>
        <w:t>, образованных</w:t>
      </w:r>
      <w:r>
        <w:rPr>
          <w:caps/>
        </w:rPr>
        <w:t xml:space="preserve">, </w:t>
      </w:r>
      <w:r>
        <w:t xml:space="preserve">например, хаотической последовательностью коротких импульсов. В этом случае если эффективная ширина спектра входного случайного процесса значительно превышает ширину полосы пропускания системы, то реальный случайный процесс можно заменить эквивалентным ему белым шумом с односторонним спектром мощности </w:t>
      </w:r>
      <w:r>
        <w:rPr>
          <w:lang w:val="en-US"/>
        </w:rPr>
        <w:t>N</w:t>
      </w:r>
      <w:r>
        <w:rPr>
          <w:vertAlign w:val="subscript"/>
        </w:rPr>
        <w:t>0</w:t>
      </w:r>
      <w:r>
        <w:t xml:space="preserve"> = </w:t>
      </w:r>
      <w:proofErr w:type="spellStart"/>
      <w:r>
        <w:rPr>
          <w:i/>
          <w:iCs/>
          <w:lang w:val="en-US"/>
        </w:rPr>
        <w:t>N</w:t>
      </w:r>
      <w:r>
        <w:rPr>
          <w:i/>
          <w:iCs/>
          <w:vertAlign w:val="subscript"/>
          <w:lang w:val="en-US"/>
        </w:rPr>
        <w:t>x</w:t>
      </w:r>
      <w:proofErr w:type="spellEnd"/>
      <w:r>
        <w:t xml:space="preserve"> (</w:t>
      </w:r>
      <w:r>
        <w:rPr>
          <w:i/>
          <w:iCs/>
          <w:lang w:val="en-US"/>
        </w:rPr>
        <w:t>f</w:t>
      </w:r>
      <w:r>
        <w:rPr>
          <w:vertAlign w:val="subscript"/>
        </w:rPr>
        <w:t>0</w:t>
      </w:r>
      <w:r>
        <w:t>), где</w:t>
      </w:r>
      <w:r>
        <w:rPr>
          <w:i/>
          <w:iCs/>
        </w:rPr>
        <w:t xml:space="preserve"> </w:t>
      </w:r>
      <w:r>
        <w:rPr>
          <w:i/>
          <w:iCs/>
          <w:lang w:val="en-US"/>
        </w:rPr>
        <w:t>f</w:t>
      </w:r>
      <w:r>
        <w:rPr>
          <w:i/>
          <w:iCs/>
          <w:vertAlign w:val="subscript"/>
        </w:rPr>
        <w:t>0</w:t>
      </w:r>
      <w:r>
        <w:rPr>
          <w:i/>
          <w:iCs/>
        </w:rPr>
        <w:t xml:space="preserve"> ~</w:t>
      </w:r>
      <w:r>
        <w:t xml:space="preserve"> некоторая точка в пределах полосы пропускания.</w:t>
      </w:r>
    </w:p>
    <w:p w:rsidR="00E10DA9" w:rsidRDefault="0098190C">
      <w:bookmarkStart w:id="0" w:name="_GoBack"/>
      <w:bookmarkEnd w:id="0"/>
    </w:p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181B"/>
    <w:rsid w:val="000A3B22"/>
    <w:rsid w:val="0082181B"/>
    <w:rsid w:val="00916217"/>
    <w:rsid w:val="00981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190C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8190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190C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190C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8190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190C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01.gif" TargetMode="External"/><Relationship Id="rId13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06.gif" TargetMode="External"/><Relationship Id="rId18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11.gif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14.gif" TargetMode="External"/><Relationship Id="rId7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00.gif" TargetMode="External"/><Relationship Id="rId12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05.gif" TargetMode="External"/><Relationship Id="rId17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10.gif" TargetMode="External"/><Relationship Id="rId25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18.gif" TargetMode="External"/><Relationship Id="rId2" Type="http://schemas.microsoft.com/office/2007/relationships/stylesWithEffects" Target="stylesWithEffects.xml"/><Relationship Id="rId16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09.gif" TargetMode="External"/><Relationship Id="rId20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13.gif" TargetMode="External"/><Relationship Id="rId1" Type="http://schemas.openxmlformats.org/officeDocument/2006/relationships/styles" Target="styles.xml"/><Relationship Id="rId6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99.gif" TargetMode="External"/><Relationship Id="rId11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04.gif" TargetMode="External"/><Relationship Id="rId24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17.gif" TargetMode="External"/><Relationship Id="rId5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98.gif" TargetMode="External"/><Relationship Id="rId15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08.gif" TargetMode="External"/><Relationship Id="rId23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16.gif" TargetMode="External"/><Relationship Id="rId10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03.gif" TargetMode="External"/><Relationship Id="rId19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12.gif" TargetMode="External"/><Relationship Id="rId4" Type="http://schemas.openxmlformats.org/officeDocument/2006/relationships/webSettings" Target="webSettings.xml"/><Relationship Id="rId9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02.gif" TargetMode="External"/><Relationship Id="rId14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07.gif" TargetMode="External"/><Relationship Id="rId22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15.gif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1351</Words>
  <Characters>7706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2020-09-24T19:30:00Z</dcterms:created>
  <dcterms:modified xsi:type="dcterms:W3CDTF">2020-09-24T19:31:00Z</dcterms:modified>
</cp:coreProperties>
</file>